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27B3" w:rsidRPr="00EF27B3" w:rsidRDefault="00EF27B3" w:rsidP="00EF27B3">
      <w:pPr>
        <w:ind w:left="2268" w:right="1274"/>
        <w:jc w:val="both"/>
        <w:rPr>
          <w:rFonts w:ascii="Arial" w:hAnsi="Arial" w:cs="Arial"/>
          <w:i/>
          <w:sz w:val="22"/>
          <w:szCs w:val="22"/>
        </w:rPr>
      </w:pPr>
      <w:r w:rsidRPr="00EF27B3">
        <w:rPr>
          <w:rFonts w:ascii="Tahoma" w:hAnsi="Tahoma" w:cs="Tahoma"/>
          <w:b/>
          <w:i/>
          <w:sz w:val="22"/>
          <w:szCs w:val="22"/>
        </w:rPr>
        <w:t>Sumilla:</w:t>
      </w:r>
      <w:r w:rsidRPr="00EF27B3">
        <w:rPr>
          <w:rFonts w:ascii="Tahoma" w:hAnsi="Tahoma" w:cs="Tahoma"/>
          <w:i/>
          <w:sz w:val="22"/>
          <w:szCs w:val="22"/>
        </w:rPr>
        <w:t xml:space="preserve"> “</w:t>
      </w:r>
      <w:r w:rsidRPr="00EF27B3">
        <w:rPr>
          <w:rFonts w:ascii="Arial" w:hAnsi="Arial" w:cs="Arial"/>
          <w:i/>
          <w:sz w:val="22"/>
          <w:szCs w:val="22"/>
        </w:rPr>
        <w:t>Es pasible de sanción el proveedor que presenta documentos falsos en los procedimientos a cargo del Registro Nacional de Proveedores, entendiéndose por tales aquellos que no hayan sido expedidos por su emisor o que, siendo válidamente emitidos, hayan sido adulterados en su forma o contenido, independientemente de quién haya sido su autor o de las circunstancias que condujeron a su falsificación.</w:t>
      </w:r>
    </w:p>
    <w:p w:rsidR="00EF27B3" w:rsidRPr="00EF27B3" w:rsidRDefault="00EF27B3" w:rsidP="00EF27B3">
      <w:pPr>
        <w:pStyle w:val="Textoindependiente3"/>
        <w:spacing w:after="0"/>
        <w:rPr>
          <w:rFonts w:ascii="Tahoma" w:hAnsi="Tahoma" w:cs="Tahoma"/>
          <w:i/>
          <w:sz w:val="22"/>
          <w:szCs w:val="22"/>
          <w:lang w:val="es-ES"/>
        </w:rPr>
      </w:pPr>
    </w:p>
    <w:p w:rsidR="00EF27B3" w:rsidRPr="00EF27B3" w:rsidRDefault="00EF27B3" w:rsidP="00577BB0">
      <w:pPr>
        <w:pStyle w:val="Textoindependiente3"/>
        <w:spacing w:after="0"/>
        <w:ind w:left="4248" w:firstLine="708"/>
        <w:jc w:val="both"/>
        <w:rPr>
          <w:rFonts w:ascii="Tahoma" w:hAnsi="Tahoma" w:cs="Tahoma"/>
          <w:b/>
          <w:sz w:val="22"/>
          <w:szCs w:val="22"/>
        </w:rPr>
      </w:pPr>
      <w:r w:rsidRPr="00EF27B3">
        <w:rPr>
          <w:rFonts w:ascii="Tahoma" w:hAnsi="Tahoma" w:cs="Tahoma"/>
          <w:b/>
          <w:sz w:val="22"/>
          <w:szCs w:val="22"/>
        </w:rPr>
        <w:t>Lima,</w:t>
      </w:r>
      <w:r w:rsidR="00577BB0">
        <w:rPr>
          <w:rFonts w:ascii="Tahoma" w:hAnsi="Tahoma" w:cs="Tahoma"/>
          <w:b/>
          <w:sz w:val="22"/>
          <w:szCs w:val="22"/>
        </w:rPr>
        <w:t xml:space="preserve"> 15 de Febrero de 2011</w:t>
      </w:r>
    </w:p>
    <w:p w:rsidR="00EF27B3" w:rsidRPr="00EF27B3" w:rsidRDefault="00EF27B3" w:rsidP="00EF27B3">
      <w:pPr>
        <w:pStyle w:val="Textoindependiente3"/>
        <w:spacing w:after="0"/>
        <w:ind w:left="5387"/>
        <w:jc w:val="both"/>
        <w:rPr>
          <w:rFonts w:ascii="Tahoma" w:hAnsi="Tahoma" w:cs="Tahoma"/>
          <w:b/>
          <w:sz w:val="22"/>
          <w:szCs w:val="22"/>
        </w:rPr>
      </w:pPr>
    </w:p>
    <w:p w:rsidR="00EF27B3" w:rsidRPr="00EF27B3" w:rsidRDefault="00EF27B3" w:rsidP="00EF27B3">
      <w:pPr>
        <w:ind w:firstLine="567"/>
        <w:contextualSpacing/>
        <w:jc w:val="both"/>
        <w:rPr>
          <w:rFonts w:ascii="Tahoma" w:hAnsi="Tahoma" w:cs="Tahoma"/>
          <w:sz w:val="22"/>
          <w:szCs w:val="22"/>
        </w:rPr>
      </w:pPr>
      <w:r w:rsidRPr="00EF27B3">
        <w:rPr>
          <w:rFonts w:ascii="Tahoma" w:hAnsi="Tahoma" w:cs="Tahoma"/>
          <w:b/>
          <w:sz w:val="22"/>
          <w:szCs w:val="22"/>
        </w:rPr>
        <w:t xml:space="preserve">Visto </w:t>
      </w:r>
      <w:r w:rsidR="00331420">
        <w:rPr>
          <w:rFonts w:ascii="Tahoma" w:hAnsi="Tahoma" w:cs="Tahoma"/>
          <w:sz w:val="22"/>
          <w:szCs w:val="22"/>
        </w:rPr>
        <w:t>en sesión de fecha 14</w:t>
      </w:r>
      <w:r w:rsidRPr="00EF27B3">
        <w:rPr>
          <w:rFonts w:ascii="Tahoma" w:hAnsi="Tahoma" w:cs="Tahoma"/>
          <w:sz w:val="22"/>
          <w:szCs w:val="22"/>
        </w:rPr>
        <w:t xml:space="preserve"> de febrero</w:t>
      </w:r>
      <w:r w:rsidR="00C27F4B">
        <w:rPr>
          <w:rFonts w:ascii="Tahoma" w:hAnsi="Tahoma" w:cs="Tahoma"/>
          <w:sz w:val="22"/>
          <w:szCs w:val="22"/>
        </w:rPr>
        <w:t xml:space="preserve"> de 2011</w:t>
      </w:r>
      <w:r w:rsidRPr="00EF27B3">
        <w:rPr>
          <w:rFonts w:ascii="Tahoma" w:hAnsi="Tahoma" w:cs="Tahoma"/>
          <w:sz w:val="22"/>
          <w:szCs w:val="22"/>
        </w:rPr>
        <w:t xml:space="preserve"> la Primera Sala del Tribunal de Contrataciones del Estado el Expediente N° 1184-2010-TC; sobre el procedimiento administrativo sancionador iniciado contra el Postor </w:t>
      </w:r>
      <w:r w:rsidR="00C27F4B">
        <w:rPr>
          <w:rFonts w:ascii="Tahoma" w:hAnsi="Tahoma" w:cs="Tahoma"/>
          <w:sz w:val="22"/>
          <w:szCs w:val="22"/>
        </w:rPr>
        <w:t>D</w:t>
      </w:r>
      <w:r w:rsidRPr="00EF27B3">
        <w:rPr>
          <w:rFonts w:ascii="Tahoma" w:hAnsi="Tahoma" w:cs="Tahoma"/>
          <w:sz w:val="22"/>
          <w:szCs w:val="22"/>
        </w:rPr>
        <w:t xml:space="preserve">OGPIGCAT S.A.C., </w:t>
      </w:r>
      <w:r w:rsidRPr="00EF27B3">
        <w:rPr>
          <w:rFonts w:ascii="Tahoma" w:hAnsi="Tahoma" w:cs="Tahoma"/>
          <w:color w:val="000000" w:themeColor="text1"/>
          <w:sz w:val="22"/>
          <w:szCs w:val="22"/>
          <w:lang w:val="es-MX"/>
        </w:rPr>
        <w:t>por la presentación de documentos falsos ante el Registro Nacional de Proveedores.</w:t>
      </w:r>
    </w:p>
    <w:p w:rsidR="00EF27B3" w:rsidRPr="00EF27B3" w:rsidRDefault="00EF27B3" w:rsidP="00EF27B3">
      <w:pPr>
        <w:ind w:firstLine="567"/>
        <w:contextualSpacing/>
        <w:jc w:val="both"/>
        <w:rPr>
          <w:rFonts w:ascii="Tahoma" w:hAnsi="Tahoma" w:cs="Tahoma"/>
          <w:b/>
          <w:sz w:val="22"/>
          <w:szCs w:val="22"/>
          <w:lang w:val="es-ES_tradnl"/>
        </w:rPr>
      </w:pPr>
    </w:p>
    <w:p w:rsidR="00EF27B3" w:rsidRPr="00EF27B3" w:rsidRDefault="00EF27B3" w:rsidP="00EF27B3">
      <w:pPr>
        <w:pStyle w:val="Prrafodelista"/>
        <w:numPr>
          <w:ilvl w:val="0"/>
          <w:numId w:val="1"/>
        </w:numPr>
        <w:ind w:left="567" w:hanging="425"/>
        <w:rPr>
          <w:rFonts w:ascii="Tahoma" w:hAnsi="Tahoma" w:cs="Tahoma"/>
          <w:b/>
          <w:sz w:val="22"/>
          <w:szCs w:val="22"/>
        </w:rPr>
      </w:pPr>
      <w:r w:rsidRPr="00EF27B3">
        <w:rPr>
          <w:rFonts w:ascii="Tahoma" w:hAnsi="Tahoma" w:cs="Tahoma"/>
          <w:b/>
          <w:sz w:val="22"/>
          <w:szCs w:val="22"/>
        </w:rPr>
        <w:t>ANTECEDENTES:</w:t>
      </w:r>
    </w:p>
    <w:p w:rsidR="00EF27B3" w:rsidRPr="00EF27B3" w:rsidRDefault="00EF27B3" w:rsidP="00EF27B3">
      <w:pPr>
        <w:jc w:val="both"/>
        <w:rPr>
          <w:rFonts w:ascii="Tahoma" w:hAnsi="Tahoma" w:cs="Tahoma"/>
          <w:b/>
          <w:sz w:val="22"/>
          <w:szCs w:val="22"/>
          <w:lang w:eastAsia="es-PE"/>
        </w:rPr>
      </w:pPr>
    </w:p>
    <w:p w:rsidR="00EF27B3" w:rsidRPr="00EF27B3" w:rsidRDefault="00EF27B3" w:rsidP="00EF27B3">
      <w:pPr>
        <w:pStyle w:val="p1"/>
        <w:numPr>
          <w:ilvl w:val="0"/>
          <w:numId w:val="2"/>
        </w:numPr>
        <w:tabs>
          <w:tab w:val="clear" w:pos="340"/>
          <w:tab w:val="num" w:pos="567"/>
          <w:tab w:val="num" w:pos="1035"/>
          <w:tab w:val="center" w:pos="5832"/>
          <w:tab w:val="right" w:pos="8789"/>
        </w:tabs>
        <w:ind w:left="540" w:hanging="567"/>
        <w:rPr>
          <w:rFonts w:ascii="Tahoma" w:hAnsi="Tahoma" w:cs="Tahoma"/>
          <w:sz w:val="22"/>
          <w:szCs w:val="22"/>
        </w:rPr>
      </w:pPr>
      <w:r w:rsidRPr="00EF27B3">
        <w:rPr>
          <w:rFonts w:ascii="Tahoma" w:hAnsi="Tahoma" w:cs="Tahoma"/>
          <w:sz w:val="22"/>
          <w:szCs w:val="22"/>
        </w:rPr>
        <w:t xml:space="preserve">El 06 de setiembre de 2010, a través del Memorando Nº 784-2010/DS-MSH, la Dirección del SEACE de este Organismo Supervisor de las Contrataciones del Estado, informó a este Tribunal de Contrataciones del Estado, en adelante, el Tribunal, que la empresa DOGPIGCAT S.A.C., en adelante, la Denunciada, habría incurrido en la infracción tipificada en el artículo 294, numeral 10) del Reglamento de la Ley de Contrataciones y Adquisiciones del Estado, aprobado por Decreto Supremo Nº 084-2004-PCM en su trámite de Renovación de Inscripción como Proveedor de Bienes seguido ante el Registro Nacional de Proveedores, tal como se desprende del Informe Nº 2058-2010-SREG/OR, documento que se adjuntó al citado Memorando. </w:t>
      </w:r>
    </w:p>
    <w:p w:rsidR="00EF27B3" w:rsidRPr="00EF27B3" w:rsidRDefault="00EF27B3" w:rsidP="00EF27B3">
      <w:pPr>
        <w:pStyle w:val="p1"/>
        <w:tabs>
          <w:tab w:val="num" w:pos="1035"/>
          <w:tab w:val="center" w:pos="5832"/>
          <w:tab w:val="right" w:pos="8789"/>
        </w:tabs>
        <w:ind w:left="540"/>
        <w:rPr>
          <w:rFonts w:ascii="Tahoma" w:hAnsi="Tahoma" w:cs="Tahoma"/>
          <w:sz w:val="22"/>
          <w:szCs w:val="22"/>
        </w:rPr>
      </w:pPr>
    </w:p>
    <w:p w:rsidR="00EF27B3" w:rsidRPr="00EF27B3" w:rsidRDefault="00EF27B3" w:rsidP="00EF27B3">
      <w:pPr>
        <w:pStyle w:val="Sangradetextonormal"/>
        <w:numPr>
          <w:ilvl w:val="0"/>
          <w:numId w:val="2"/>
        </w:numPr>
        <w:tabs>
          <w:tab w:val="clear" w:pos="340"/>
          <w:tab w:val="num" w:pos="567"/>
          <w:tab w:val="num" w:pos="1035"/>
          <w:tab w:val="left" w:pos="1985"/>
        </w:tabs>
        <w:spacing w:after="0"/>
        <w:ind w:left="540" w:hanging="567"/>
        <w:jc w:val="both"/>
        <w:rPr>
          <w:rFonts w:ascii="Tahoma" w:hAnsi="Tahoma" w:cs="Tahoma"/>
          <w:sz w:val="22"/>
          <w:szCs w:val="22"/>
        </w:rPr>
      </w:pPr>
      <w:r w:rsidRPr="00EF27B3">
        <w:rPr>
          <w:rFonts w:ascii="Tahoma" w:hAnsi="Tahoma" w:cs="Tahoma"/>
          <w:sz w:val="22"/>
          <w:szCs w:val="22"/>
        </w:rPr>
        <w:t>EL citado Informe Nº 2058-2010-SREG/OR señaló lo siguiente:</w:t>
      </w:r>
    </w:p>
    <w:p w:rsidR="00EF27B3" w:rsidRPr="00EF27B3" w:rsidRDefault="00EF27B3" w:rsidP="00EF27B3">
      <w:pPr>
        <w:pStyle w:val="Prrafodelista"/>
        <w:rPr>
          <w:rFonts w:ascii="Tahoma" w:hAnsi="Tahoma" w:cs="Tahoma"/>
          <w:sz w:val="22"/>
          <w:szCs w:val="22"/>
        </w:rPr>
      </w:pPr>
    </w:p>
    <w:p w:rsidR="00EF27B3" w:rsidRPr="00EF27B3" w:rsidRDefault="00EF27B3" w:rsidP="00EF27B3">
      <w:pPr>
        <w:pStyle w:val="Sangradetextonormal"/>
        <w:numPr>
          <w:ilvl w:val="0"/>
          <w:numId w:val="9"/>
        </w:numPr>
        <w:tabs>
          <w:tab w:val="left" w:pos="1985"/>
        </w:tabs>
        <w:spacing w:after="0"/>
        <w:jc w:val="both"/>
        <w:rPr>
          <w:rFonts w:ascii="Tahoma" w:hAnsi="Tahoma" w:cs="Tahoma"/>
          <w:sz w:val="22"/>
          <w:szCs w:val="22"/>
        </w:rPr>
      </w:pPr>
      <w:r w:rsidRPr="00EF27B3">
        <w:rPr>
          <w:rFonts w:ascii="Tahoma" w:hAnsi="Tahoma" w:cs="Tahoma"/>
          <w:sz w:val="22"/>
          <w:szCs w:val="22"/>
        </w:rPr>
        <w:t>Con fecha 13.02.2008 la empresa DOGPIGCAT S.A.C luego de realizar el pago de la tasa correspondiente, obtuvo su renovación de inscripción automática en el capítulo de bienes del Registro Nacional de Proveedores, con registro de numero B0048795.</w:t>
      </w:r>
    </w:p>
    <w:p w:rsidR="00EF27B3" w:rsidRPr="00EF27B3" w:rsidRDefault="00EF27B3" w:rsidP="00EF27B3">
      <w:pPr>
        <w:pStyle w:val="Sangradetextonormal"/>
        <w:tabs>
          <w:tab w:val="num" w:pos="1035"/>
          <w:tab w:val="left" w:pos="1985"/>
        </w:tabs>
        <w:spacing w:after="0"/>
        <w:ind w:left="540"/>
        <w:jc w:val="both"/>
        <w:rPr>
          <w:rFonts w:ascii="Tahoma" w:hAnsi="Tahoma" w:cs="Tahoma"/>
          <w:sz w:val="22"/>
          <w:szCs w:val="22"/>
        </w:rPr>
      </w:pPr>
    </w:p>
    <w:p w:rsidR="00EF27B3" w:rsidRPr="00EF27B3" w:rsidRDefault="00EF27B3" w:rsidP="00EF27B3">
      <w:pPr>
        <w:pStyle w:val="Sangradetextonormal"/>
        <w:numPr>
          <w:ilvl w:val="0"/>
          <w:numId w:val="9"/>
        </w:numPr>
        <w:tabs>
          <w:tab w:val="left" w:pos="1985"/>
        </w:tabs>
        <w:spacing w:after="0"/>
        <w:jc w:val="both"/>
        <w:rPr>
          <w:rFonts w:ascii="Tahoma" w:hAnsi="Tahoma" w:cs="Tahoma"/>
          <w:sz w:val="22"/>
          <w:szCs w:val="22"/>
        </w:rPr>
      </w:pPr>
      <w:r w:rsidRPr="00EF27B3">
        <w:rPr>
          <w:rFonts w:ascii="Tahoma" w:hAnsi="Tahoma" w:cs="Tahoma"/>
          <w:sz w:val="22"/>
          <w:szCs w:val="22"/>
        </w:rPr>
        <w:t>De conformidad con lo establecido en el artículo 32 de la Ley 27444-Ley de Procedimiento Administrativo General, la Subdirección del Registro Nacional de Proveedores dispuso iniciar la fiscalización posterior a la documentación presentada por la empresa DOGPIGCAT S.A.C, por lo que mediante Oficio Nº 2157-2008-CONSUCODE.SGRNP/SPF de 20.06.2008, se solicitó a la Municipalidad Distrital de Ventanilla, brindar su conformidad a la Licencia de Funcionamiento Provisional Nº 01586 de fecha 07.01.2008.</w:t>
      </w:r>
    </w:p>
    <w:p w:rsidR="00EF27B3" w:rsidRPr="00EF27B3" w:rsidRDefault="00EF27B3" w:rsidP="00EF27B3">
      <w:pPr>
        <w:pStyle w:val="Sangradetextonormal"/>
        <w:tabs>
          <w:tab w:val="num" w:pos="1035"/>
          <w:tab w:val="left" w:pos="1985"/>
        </w:tabs>
        <w:spacing w:after="0"/>
        <w:ind w:left="540"/>
        <w:jc w:val="both"/>
        <w:rPr>
          <w:rFonts w:ascii="Tahoma" w:hAnsi="Tahoma" w:cs="Tahoma"/>
          <w:sz w:val="22"/>
          <w:szCs w:val="22"/>
        </w:rPr>
      </w:pPr>
    </w:p>
    <w:p w:rsidR="00EF27B3" w:rsidRPr="00EF27B3" w:rsidRDefault="00EF27B3" w:rsidP="00EF27B3">
      <w:pPr>
        <w:pStyle w:val="Sangradetextonormal"/>
        <w:numPr>
          <w:ilvl w:val="0"/>
          <w:numId w:val="9"/>
        </w:numPr>
        <w:tabs>
          <w:tab w:val="left" w:pos="1985"/>
        </w:tabs>
        <w:spacing w:after="0"/>
        <w:jc w:val="both"/>
        <w:rPr>
          <w:rFonts w:ascii="Tahoma" w:hAnsi="Tahoma" w:cs="Tahoma"/>
          <w:sz w:val="22"/>
          <w:szCs w:val="22"/>
        </w:rPr>
      </w:pPr>
      <w:r w:rsidRPr="00EF27B3">
        <w:rPr>
          <w:rFonts w:ascii="Tahoma" w:hAnsi="Tahoma" w:cs="Tahoma"/>
          <w:sz w:val="22"/>
          <w:szCs w:val="22"/>
        </w:rPr>
        <w:lastRenderedPageBreak/>
        <w:t>Mediante Oficio Nº 081-2008-MDV/GDEL de fecha 30.06.2008 la Municipalidad Distrital de Ventanilla, señaló que la empresa DOGPIGCAT S.A.C con fecha 19.09.2006 presentó ante esa comuna la solicitud de licencia de funcionamiento provisional, la misma que culminó con la emisión de la Licencia Nº 01586 cuya fecha de vencimiento fue el 29.09.2007, acotando que la licencia que fuera presentada por la referida empresa ante el CONSUCODE no ha sido emitida por dicha Municipalidad, siendo, por tanto, falsa.</w:t>
      </w:r>
    </w:p>
    <w:p w:rsidR="00EF27B3" w:rsidRPr="00EF27B3" w:rsidRDefault="00EF27B3" w:rsidP="00EF27B3">
      <w:pPr>
        <w:pStyle w:val="Sangradetextonormal"/>
        <w:tabs>
          <w:tab w:val="num" w:pos="1035"/>
          <w:tab w:val="left" w:pos="1985"/>
        </w:tabs>
        <w:spacing w:after="0"/>
        <w:ind w:left="540"/>
        <w:jc w:val="both"/>
        <w:rPr>
          <w:rFonts w:ascii="Tahoma" w:hAnsi="Tahoma" w:cs="Tahoma"/>
          <w:sz w:val="22"/>
          <w:szCs w:val="22"/>
        </w:rPr>
      </w:pPr>
    </w:p>
    <w:p w:rsidR="00EF27B3" w:rsidRPr="00EF27B3" w:rsidRDefault="00EF27B3" w:rsidP="00EF27B3">
      <w:pPr>
        <w:pStyle w:val="Sangradetextonormal"/>
        <w:numPr>
          <w:ilvl w:val="0"/>
          <w:numId w:val="9"/>
        </w:numPr>
        <w:tabs>
          <w:tab w:val="left" w:pos="1985"/>
        </w:tabs>
        <w:spacing w:after="0"/>
        <w:jc w:val="both"/>
        <w:rPr>
          <w:rFonts w:ascii="Tahoma" w:hAnsi="Tahoma" w:cs="Tahoma"/>
          <w:sz w:val="22"/>
          <w:szCs w:val="22"/>
        </w:rPr>
      </w:pPr>
      <w:r w:rsidRPr="00EF27B3">
        <w:rPr>
          <w:rFonts w:ascii="Tahoma" w:hAnsi="Tahoma" w:cs="Tahoma"/>
          <w:sz w:val="22"/>
          <w:szCs w:val="22"/>
        </w:rPr>
        <w:t>Al haberse verificado que la empresa DOGPIGCAT S.A.C a efectos de formalizar su trámite de renovación de inscripción como proveedor de bienes presentó al Registro Nacional de Proveedores, entre otros documentos, la licencia de funcionamiento provisional Nº 01586 de fecha 07.01.2008, supuestamente expedida por la Municipalidad Distrital de Ventanilla, lo que no corresponde a la realidad, tal como se ha podido constatar de la información brindada por la citada entidad, queda evidenciado, de este modo, una transgresión al Principio de Presunción de Veracidad en la que incurrió la empresa DOGPIGCAT S.A.C a fin de acreditar que contaba con autorización municipal de funcionamiento, requisito del cual carecía.</w:t>
      </w:r>
    </w:p>
    <w:p w:rsidR="00EF27B3" w:rsidRPr="00EF27B3" w:rsidRDefault="00EF27B3" w:rsidP="00EF27B3">
      <w:pPr>
        <w:pStyle w:val="Sangradetextonormal"/>
        <w:tabs>
          <w:tab w:val="num" w:pos="1035"/>
          <w:tab w:val="left" w:pos="1985"/>
        </w:tabs>
        <w:spacing w:after="0"/>
        <w:ind w:left="540"/>
        <w:jc w:val="both"/>
        <w:rPr>
          <w:rFonts w:ascii="Tahoma" w:hAnsi="Tahoma" w:cs="Tahoma"/>
          <w:sz w:val="22"/>
          <w:szCs w:val="22"/>
        </w:rPr>
      </w:pPr>
    </w:p>
    <w:p w:rsidR="00EF27B3" w:rsidRPr="00EF27B3" w:rsidRDefault="00EF27B3" w:rsidP="00EF27B3">
      <w:pPr>
        <w:pStyle w:val="Prrafodelista"/>
        <w:rPr>
          <w:rFonts w:ascii="Tahoma" w:hAnsi="Tahoma" w:cs="Tahoma"/>
          <w:sz w:val="22"/>
          <w:szCs w:val="22"/>
        </w:rPr>
      </w:pPr>
    </w:p>
    <w:p w:rsidR="00EF27B3" w:rsidRPr="00EF27B3" w:rsidRDefault="00EF27B3" w:rsidP="00EF27B3">
      <w:pPr>
        <w:numPr>
          <w:ilvl w:val="0"/>
          <w:numId w:val="2"/>
        </w:numPr>
        <w:tabs>
          <w:tab w:val="clear" w:pos="340"/>
          <w:tab w:val="num" w:pos="540"/>
          <w:tab w:val="num" w:pos="1035"/>
        </w:tabs>
        <w:ind w:left="540" w:hanging="540"/>
        <w:jc w:val="both"/>
        <w:rPr>
          <w:rFonts w:ascii="Tahoma" w:hAnsi="Tahoma" w:cs="Tahoma"/>
          <w:sz w:val="22"/>
          <w:szCs w:val="22"/>
          <w:lang w:eastAsia="es-PE"/>
        </w:rPr>
      </w:pPr>
      <w:r w:rsidRPr="00EF27B3">
        <w:rPr>
          <w:rFonts w:ascii="Tahoma" w:hAnsi="Tahoma" w:cs="Tahoma"/>
          <w:sz w:val="22"/>
          <w:szCs w:val="22"/>
        </w:rPr>
        <w:t>En ese sentido, mediante decreto de fecha 9 de setiembre de 2010, se inició procedimiento administrativo sancionador a la Denunciada, por su supuesta responsabilidad en la presentación de la LICENCIA DE FUNCIONAMIENTO PROVISIONAL Nº 01586 de fecha 07.01.2008, documento supuestamente falso y/o inexacto, presentado para el trámite de Renovación de Inscripción como Proveedor de Bienes ante el Registro Nacional de Proveedores.</w:t>
      </w:r>
      <w:r w:rsidRPr="00EF27B3">
        <w:rPr>
          <w:rFonts w:ascii="Tahoma" w:hAnsi="Tahoma" w:cs="Tahoma"/>
          <w:sz w:val="22"/>
          <w:szCs w:val="22"/>
          <w:lang w:eastAsia="es-PE"/>
        </w:rPr>
        <w:t xml:space="preserve"> Conforme a ello, se otorgó </w:t>
      </w:r>
      <w:r w:rsidRPr="00EF27B3">
        <w:rPr>
          <w:rFonts w:ascii="Tahoma" w:hAnsi="Tahoma" w:cs="Tahoma"/>
          <w:sz w:val="22"/>
          <w:szCs w:val="22"/>
        </w:rPr>
        <w:t>a la Denunciada</w:t>
      </w:r>
      <w:r w:rsidRPr="00EF27B3">
        <w:rPr>
          <w:rFonts w:ascii="Tahoma" w:hAnsi="Tahoma" w:cs="Tahoma"/>
          <w:sz w:val="22"/>
          <w:szCs w:val="22"/>
          <w:lang w:eastAsia="es-PE"/>
        </w:rPr>
        <w:t xml:space="preserve"> un plazo de diez (10) días hábiles para que cumpla con presentar sus descargos, bajo apercibimiento de resolver el procedimiento con la documentación obrante en el expediente.</w:t>
      </w:r>
    </w:p>
    <w:p w:rsidR="00EF27B3" w:rsidRPr="00EF27B3" w:rsidRDefault="00EF27B3" w:rsidP="00EF27B3">
      <w:pPr>
        <w:contextualSpacing/>
        <w:jc w:val="both"/>
        <w:rPr>
          <w:rFonts w:ascii="Tahoma" w:hAnsi="Tahoma" w:cs="Tahoma"/>
          <w:sz w:val="22"/>
          <w:szCs w:val="22"/>
        </w:rPr>
      </w:pPr>
    </w:p>
    <w:p w:rsidR="00EF27B3" w:rsidRPr="00EF27B3" w:rsidRDefault="00EF27B3" w:rsidP="00EF27B3">
      <w:pPr>
        <w:pStyle w:val="Prrafodelista"/>
        <w:widowControl/>
        <w:numPr>
          <w:ilvl w:val="0"/>
          <w:numId w:val="2"/>
        </w:numPr>
        <w:tabs>
          <w:tab w:val="clear" w:pos="340"/>
        </w:tabs>
        <w:suppressAutoHyphens w:val="0"/>
        <w:ind w:left="567" w:hanging="567"/>
        <w:contextualSpacing/>
        <w:jc w:val="both"/>
        <w:rPr>
          <w:rFonts w:ascii="Tahoma" w:hAnsi="Tahoma" w:cs="Tahoma"/>
          <w:sz w:val="22"/>
          <w:szCs w:val="22"/>
        </w:rPr>
      </w:pPr>
      <w:r w:rsidRPr="00EF27B3">
        <w:rPr>
          <w:rFonts w:ascii="Tahoma" w:hAnsi="Tahoma" w:cs="Tahoma"/>
          <w:sz w:val="22"/>
          <w:szCs w:val="22"/>
        </w:rPr>
        <w:t>Mediante decreto del 03 de enero de 2011, habiendo vencido el plazo para que la Denunciada formule sus descargos el 28.12.2010 y no habiéndolo hecho, el expediente fue remitido a la Primera Sala a fin de resolver con la documentación obrante en autos.</w:t>
      </w:r>
    </w:p>
    <w:p w:rsidR="00EF27B3" w:rsidRPr="00EF27B3" w:rsidRDefault="00EF27B3" w:rsidP="00EF27B3">
      <w:pPr>
        <w:pStyle w:val="Prrafodelista"/>
        <w:ind w:left="0"/>
        <w:jc w:val="both"/>
        <w:rPr>
          <w:rFonts w:ascii="Tahoma" w:hAnsi="Tahoma" w:cs="Tahoma"/>
          <w:sz w:val="22"/>
          <w:szCs w:val="22"/>
        </w:rPr>
      </w:pPr>
    </w:p>
    <w:p w:rsidR="00EF27B3" w:rsidRPr="00EF27B3" w:rsidRDefault="00EF27B3" w:rsidP="00EF27B3">
      <w:pPr>
        <w:contextualSpacing/>
        <w:jc w:val="both"/>
        <w:rPr>
          <w:rFonts w:ascii="Tahoma" w:hAnsi="Tahoma" w:cs="Tahoma"/>
          <w:sz w:val="22"/>
          <w:szCs w:val="22"/>
          <w:lang w:val="es-ES_tradnl"/>
        </w:rPr>
      </w:pPr>
    </w:p>
    <w:p w:rsidR="00EF27B3" w:rsidRPr="00C27F4B" w:rsidRDefault="00EF27B3" w:rsidP="00C27F4B">
      <w:pPr>
        <w:pStyle w:val="Prrafodelista"/>
        <w:numPr>
          <w:ilvl w:val="0"/>
          <w:numId w:val="1"/>
        </w:numPr>
        <w:ind w:left="567"/>
        <w:jc w:val="both"/>
        <w:rPr>
          <w:rFonts w:ascii="Tahoma" w:hAnsi="Tahoma" w:cs="Tahoma"/>
          <w:b/>
          <w:shadow/>
          <w:sz w:val="22"/>
          <w:szCs w:val="22"/>
        </w:rPr>
      </w:pPr>
      <w:r w:rsidRPr="00C27F4B">
        <w:rPr>
          <w:rFonts w:ascii="Tahoma" w:hAnsi="Tahoma" w:cs="Tahoma"/>
          <w:b/>
          <w:sz w:val="22"/>
          <w:szCs w:val="22"/>
        </w:rPr>
        <w:t>FUNDAMENTACIÓN:</w:t>
      </w:r>
    </w:p>
    <w:p w:rsidR="00EF27B3" w:rsidRPr="00EF27B3" w:rsidRDefault="00EF27B3" w:rsidP="00EF27B3">
      <w:pPr>
        <w:pStyle w:val="Prrafodelista"/>
        <w:ind w:left="567"/>
        <w:jc w:val="both"/>
        <w:rPr>
          <w:rFonts w:ascii="Tahoma" w:hAnsi="Tahoma" w:cs="Tahoma"/>
          <w:b/>
          <w:shadow/>
          <w:sz w:val="22"/>
          <w:szCs w:val="22"/>
        </w:rPr>
      </w:pPr>
    </w:p>
    <w:p w:rsidR="00EF27B3" w:rsidRPr="00EF27B3" w:rsidRDefault="00EF27B3" w:rsidP="00EF27B3">
      <w:pPr>
        <w:pStyle w:val="Prrafodelista"/>
        <w:widowControl/>
        <w:numPr>
          <w:ilvl w:val="0"/>
          <w:numId w:val="10"/>
        </w:numPr>
        <w:suppressAutoHyphens w:val="0"/>
        <w:ind w:left="567" w:hanging="567"/>
        <w:contextualSpacing/>
        <w:jc w:val="both"/>
        <w:rPr>
          <w:rFonts w:ascii="Tahoma" w:hAnsi="Tahoma" w:cs="Tahoma"/>
          <w:sz w:val="22"/>
          <w:szCs w:val="22"/>
        </w:rPr>
      </w:pPr>
      <w:r w:rsidRPr="00EF27B3">
        <w:rPr>
          <w:rFonts w:ascii="Tahoma" w:hAnsi="Tahoma" w:cs="Tahoma"/>
          <w:sz w:val="22"/>
          <w:szCs w:val="22"/>
        </w:rPr>
        <w:t xml:space="preserve">El presente procedimiento administrativo sancionador ha sido iniciado contra la Denunciada, por su supuesta responsabilidad por la presentación de documentación falsa o inexacta en el trámite de Renovación de Inscripción como Proveedor de Bienes ante el Registro Nacional de Proveedores; infracción tipificada en el numeral 10) del artículo 294 del Reglamento de la Ley de </w:t>
      </w:r>
      <w:r w:rsidRPr="00EF27B3">
        <w:rPr>
          <w:rFonts w:ascii="Tahoma" w:hAnsi="Tahoma" w:cs="Tahoma"/>
          <w:sz w:val="22"/>
          <w:szCs w:val="22"/>
        </w:rPr>
        <w:lastRenderedPageBreak/>
        <w:t>Contrataciones  y Adquisiciones del Estado, aprobado mediante Decreto Supremo Nº 084-2004-PCM, en adelante el Reglamento, normativa vigente al suscitarse los hechos materia de análisis.</w:t>
      </w:r>
    </w:p>
    <w:p w:rsidR="00EF27B3" w:rsidRPr="00EF27B3" w:rsidRDefault="00EF27B3" w:rsidP="00EF27B3">
      <w:pPr>
        <w:pStyle w:val="Prrafodelista"/>
        <w:ind w:left="567"/>
        <w:contextualSpacing/>
        <w:jc w:val="both"/>
        <w:rPr>
          <w:rFonts w:ascii="Tahoma" w:hAnsi="Tahoma" w:cs="Tahoma"/>
          <w:sz w:val="22"/>
          <w:szCs w:val="22"/>
        </w:rPr>
      </w:pPr>
    </w:p>
    <w:p w:rsidR="00EF27B3" w:rsidRPr="00EF27B3" w:rsidRDefault="00EF27B3" w:rsidP="00EF27B3">
      <w:pPr>
        <w:pStyle w:val="Prrafodelista"/>
        <w:widowControl/>
        <w:numPr>
          <w:ilvl w:val="0"/>
          <w:numId w:val="10"/>
        </w:numPr>
        <w:suppressAutoHyphens w:val="0"/>
        <w:ind w:left="567" w:hanging="567"/>
        <w:contextualSpacing/>
        <w:jc w:val="both"/>
        <w:rPr>
          <w:rFonts w:ascii="Tahoma" w:hAnsi="Tahoma" w:cs="Tahoma"/>
          <w:sz w:val="22"/>
          <w:szCs w:val="22"/>
        </w:rPr>
      </w:pPr>
      <w:r w:rsidRPr="00EF27B3">
        <w:rPr>
          <w:rFonts w:ascii="Tahoma" w:hAnsi="Tahoma" w:cs="Tahoma"/>
          <w:sz w:val="22"/>
          <w:szCs w:val="22"/>
        </w:rPr>
        <w:t>Sobre el particular, dicha causal de sanción establece que los proveedores, participantes, postores y/o contratistas incurrirán en infracción susceptible de sanción cuando presenten documentos falsos o declaraciones juradas con información inexacta en los procedimientos seguidos ante el Registro Nacional de Proveedores, sin que la norma exija otros factores adicionales.</w:t>
      </w:r>
    </w:p>
    <w:p w:rsidR="00EF27B3" w:rsidRPr="00EF27B3" w:rsidRDefault="00EF27B3" w:rsidP="00EF27B3">
      <w:pPr>
        <w:pStyle w:val="Prrafodelista"/>
        <w:ind w:left="567"/>
        <w:contextualSpacing/>
        <w:jc w:val="both"/>
        <w:rPr>
          <w:rFonts w:ascii="Tahoma" w:hAnsi="Tahoma" w:cs="Tahoma"/>
          <w:sz w:val="22"/>
          <w:szCs w:val="22"/>
        </w:rPr>
      </w:pPr>
    </w:p>
    <w:p w:rsidR="00EF27B3" w:rsidRPr="00EF27B3" w:rsidRDefault="00EF27B3" w:rsidP="00EF27B3">
      <w:pPr>
        <w:pStyle w:val="Prrafodelista"/>
        <w:widowControl/>
        <w:numPr>
          <w:ilvl w:val="0"/>
          <w:numId w:val="10"/>
        </w:numPr>
        <w:suppressAutoHyphens w:val="0"/>
        <w:ind w:left="567" w:hanging="567"/>
        <w:contextualSpacing/>
        <w:jc w:val="both"/>
        <w:rPr>
          <w:rFonts w:ascii="Tahoma" w:hAnsi="Tahoma" w:cs="Tahoma"/>
          <w:sz w:val="22"/>
          <w:szCs w:val="22"/>
        </w:rPr>
      </w:pPr>
      <w:r w:rsidRPr="00EF27B3">
        <w:rPr>
          <w:rFonts w:ascii="Tahoma" w:hAnsi="Tahoma" w:cs="Tahoma"/>
          <w:sz w:val="22"/>
          <w:szCs w:val="22"/>
          <w:lang w:val="es-MX"/>
        </w:rPr>
        <w:t xml:space="preserve">Para </w:t>
      </w:r>
      <w:r w:rsidRPr="00EF27B3">
        <w:rPr>
          <w:rFonts w:ascii="Tahoma" w:hAnsi="Tahoma" w:cs="Tahoma"/>
          <w:sz w:val="22"/>
          <w:szCs w:val="22"/>
        </w:rPr>
        <w:t xml:space="preserve">la configuración de los supuestos de hecho de la norma que contiene la infracción imputada se requiere acreditar la falsedad o inexactitud del documento cuestionado; es decir, que éste no haya sido expedido por el órgano emisor correspondiente, o que siendo válidamente expedido haya sido adulterado en su contenido, o que éste sea incongruente con la realidad, produciendo un falseamiento de ésta, a través del quebrantamiento de los </w:t>
      </w:r>
      <w:r w:rsidRPr="00EF27B3">
        <w:rPr>
          <w:rFonts w:ascii="Tahoma" w:hAnsi="Tahoma" w:cs="Tahoma"/>
          <w:i/>
          <w:sz w:val="22"/>
          <w:szCs w:val="22"/>
        </w:rPr>
        <w:t>Principios de Moralidad</w:t>
      </w:r>
      <w:r w:rsidRPr="00EF27B3">
        <w:rPr>
          <w:rFonts w:ascii="Tahoma" w:hAnsi="Tahoma" w:cs="Tahoma"/>
          <w:sz w:val="22"/>
          <w:szCs w:val="22"/>
        </w:rPr>
        <w:t xml:space="preserve"> y de </w:t>
      </w:r>
      <w:r w:rsidRPr="00EF27B3">
        <w:rPr>
          <w:rFonts w:ascii="Tahoma" w:hAnsi="Tahoma" w:cs="Tahoma"/>
          <w:i/>
          <w:sz w:val="22"/>
          <w:szCs w:val="22"/>
        </w:rPr>
        <w:t>Presunción de Veracidad</w:t>
      </w:r>
      <w:r w:rsidRPr="00EF27B3">
        <w:rPr>
          <w:rFonts w:ascii="Tahoma" w:hAnsi="Tahoma" w:cs="Tahoma"/>
          <w:sz w:val="22"/>
          <w:szCs w:val="22"/>
        </w:rPr>
        <w:t>, de conformidad con lo establecido en el literal b) del artículo 4 de la Ley de Contrataciones del Estado, aprobada por Decreto Legislativo Nº 1017, en lo sucesivo la Ley, en concordancia con lo dispuesto en el numeral 1.7 del Artículo IV del Título Preliminar y el numeral 42.1 del artículo 42 de la Ley del Procedimiento Administrativo General, Ley Nº 27444.</w:t>
      </w:r>
    </w:p>
    <w:p w:rsidR="00EF27B3" w:rsidRPr="00EF27B3" w:rsidRDefault="00EF27B3" w:rsidP="00EF27B3">
      <w:pPr>
        <w:pStyle w:val="Prrafodelista"/>
        <w:rPr>
          <w:rFonts w:ascii="Tahoma" w:hAnsi="Tahoma" w:cs="Tahoma"/>
          <w:sz w:val="22"/>
          <w:szCs w:val="22"/>
          <w:lang w:val="es-PE"/>
        </w:rPr>
      </w:pPr>
    </w:p>
    <w:p w:rsidR="00EF27B3" w:rsidRPr="00EF27B3" w:rsidRDefault="00EF27B3" w:rsidP="00EF27B3">
      <w:pPr>
        <w:pStyle w:val="Prrafodelista"/>
        <w:widowControl/>
        <w:numPr>
          <w:ilvl w:val="0"/>
          <w:numId w:val="10"/>
        </w:numPr>
        <w:suppressAutoHyphens w:val="0"/>
        <w:ind w:left="567" w:hanging="567"/>
        <w:contextualSpacing/>
        <w:jc w:val="both"/>
        <w:rPr>
          <w:rFonts w:ascii="Tahoma" w:hAnsi="Tahoma" w:cs="Tahoma"/>
          <w:sz w:val="22"/>
          <w:szCs w:val="22"/>
        </w:rPr>
      </w:pPr>
      <w:r w:rsidRPr="00EF27B3">
        <w:rPr>
          <w:rFonts w:ascii="Tahoma" w:hAnsi="Tahoma" w:cs="Tahoma"/>
          <w:sz w:val="22"/>
          <w:szCs w:val="22"/>
          <w:lang w:val="es-PE"/>
        </w:rPr>
        <w:t xml:space="preserve">Ahora bien, de los documentos obrantes en autos, se puede advertir que la imputación a </w:t>
      </w:r>
      <w:r w:rsidRPr="00EF27B3">
        <w:rPr>
          <w:rFonts w:ascii="Tahoma" w:hAnsi="Tahoma" w:cs="Tahoma"/>
          <w:sz w:val="22"/>
          <w:szCs w:val="22"/>
        </w:rPr>
        <w:t>la Denunciada</w:t>
      </w:r>
      <w:r w:rsidRPr="00EF27B3">
        <w:rPr>
          <w:rFonts w:ascii="Tahoma" w:hAnsi="Tahoma" w:cs="Tahoma"/>
          <w:sz w:val="22"/>
          <w:szCs w:val="22"/>
          <w:lang w:val="es-PE"/>
        </w:rPr>
        <w:t xml:space="preserve">, está referida a </w:t>
      </w:r>
      <w:r w:rsidRPr="00EF27B3">
        <w:rPr>
          <w:rFonts w:ascii="Tahoma" w:hAnsi="Tahoma" w:cs="Tahoma"/>
          <w:sz w:val="22"/>
          <w:szCs w:val="22"/>
        </w:rPr>
        <w:t>haber presentado la LICENCIA DE FUNCIONAMIENTO PROVISIONAL Nº 01586 de fecha 07.01.2008, emitida supuestamente por la Municipalidad Distrital de Ventanilla, documento supuestamente falso y/o inexacto, a fin de tramitar la renovación de Inscripción como Proveedor de Bienes ante el Registro Nacional de Proveedores.</w:t>
      </w:r>
    </w:p>
    <w:p w:rsidR="00EF27B3" w:rsidRPr="00EF27B3" w:rsidRDefault="00EF27B3" w:rsidP="00EF27B3">
      <w:pPr>
        <w:pStyle w:val="Prrafodelista"/>
        <w:rPr>
          <w:rFonts w:ascii="Tahoma" w:hAnsi="Tahoma" w:cs="Tahoma"/>
          <w:sz w:val="22"/>
          <w:szCs w:val="22"/>
          <w:lang w:val="es-PE"/>
        </w:rPr>
      </w:pPr>
    </w:p>
    <w:p w:rsidR="00EF27B3" w:rsidRPr="00EF27B3" w:rsidRDefault="00EF27B3" w:rsidP="00EF27B3">
      <w:pPr>
        <w:pStyle w:val="Prrafodelista"/>
        <w:widowControl/>
        <w:numPr>
          <w:ilvl w:val="0"/>
          <w:numId w:val="10"/>
        </w:numPr>
        <w:suppressAutoHyphens w:val="0"/>
        <w:ind w:left="567" w:hanging="567"/>
        <w:contextualSpacing/>
        <w:jc w:val="both"/>
        <w:rPr>
          <w:rFonts w:ascii="Tahoma" w:hAnsi="Tahoma" w:cs="Tahoma"/>
          <w:b/>
          <w:i/>
          <w:sz w:val="22"/>
          <w:szCs w:val="22"/>
        </w:rPr>
      </w:pPr>
      <w:r w:rsidRPr="00EF27B3">
        <w:rPr>
          <w:rFonts w:ascii="Tahoma" w:hAnsi="Tahoma" w:cs="Tahoma"/>
          <w:sz w:val="22"/>
          <w:szCs w:val="22"/>
          <w:lang w:val="es-PE"/>
        </w:rPr>
        <w:t xml:space="preserve">Sobre el particular, y como parte de la fiscalización posterior realizada por la Subdirección del Registro Nacional de Proveedores se solicitó a la Municipalidad Distrital de Ventanilla, Entidad que emitió la supuesta Licencia de Funcionamiento referida, que brinde su conformidad a dicho documento. Teniendo en cuenta ello, la comuna referida manifestó que el documento que se menciona es falso ya que no fue emitida por su representada, señalando lo siguiente: </w:t>
      </w:r>
      <w:r w:rsidRPr="00EF27B3">
        <w:rPr>
          <w:rFonts w:ascii="Tahoma" w:hAnsi="Tahoma" w:cs="Tahoma"/>
          <w:b/>
          <w:i/>
          <w:sz w:val="22"/>
          <w:szCs w:val="22"/>
          <w:lang w:val="es-PE"/>
        </w:rPr>
        <w:t>“Hacemos de su conocimiento que revisados los padrones de licencias, se ha determinado que la licencia que les presentase la referida empresa no ha sido emitida por esta Municipalidad siendo por tanto FALSA quedando a nuestra potestad iniciar las acciones legales pertinentes:”</w:t>
      </w:r>
    </w:p>
    <w:p w:rsidR="00EF27B3" w:rsidRPr="00EF27B3" w:rsidRDefault="00EF27B3" w:rsidP="00EF27B3">
      <w:pPr>
        <w:pStyle w:val="Prrafodelista"/>
        <w:rPr>
          <w:rFonts w:ascii="Tahoma" w:hAnsi="Tahoma" w:cs="Tahoma"/>
          <w:sz w:val="22"/>
          <w:szCs w:val="22"/>
          <w:lang w:val="es-PE"/>
        </w:rPr>
      </w:pPr>
    </w:p>
    <w:p w:rsidR="00EF27B3" w:rsidRPr="00EF27B3" w:rsidRDefault="00EF27B3" w:rsidP="00EF27B3">
      <w:pPr>
        <w:pStyle w:val="Prrafodelista"/>
        <w:widowControl/>
        <w:numPr>
          <w:ilvl w:val="0"/>
          <w:numId w:val="10"/>
        </w:numPr>
        <w:suppressAutoHyphens w:val="0"/>
        <w:ind w:left="567" w:hanging="567"/>
        <w:contextualSpacing/>
        <w:jc w:val="both"/>
        <w:rPr>
          <w:rFonts w:ascii="Tahoma" w:hAnsi="Tahoma" w:cs="Tahoma"/>
          <w:sz w:val="22"/>
          <w:szCs w:val="22"/>
        </w:rPr>
      </w:pPr>
      <w:r w:rsidRPr="00EF27B3">
        <w:rPr>
          <w:rFonts w:ascii="Tahoma" w:hAnsi="Tahoma" w:cs="Tahoma"/>
          <w:sz w:val="22"/>
          <w:szCs w:val="22"/>
          <w:lang w:val="es-PE"/>
        </w:rPr>
        <w:t xml:space="preserve">En ese sentido, el Presidente del Consejo Superior de Contrataciones y Adquisiciones del Estado emitió la Resolución Nº 399-2008-CONSUCODE/PRE mediante el cual declaró la nulidad del trámite de renovación de inscripción como proveedor de bienes en el Registro Nacional de Proveedores a </w:t>
      </w:r>
      <w:r w:rsidRPr="00EF27B3">
        <w:rPr>
          <w:rFonts w:ascii="Tahoma" w:hAnsi="Tahoma" w:cs="Tahoma"/>
          <w:sz w:val="22"/>
          <w:szCs w:val="22"/>
        </w:rPr>
        <w:t xml:space="preserve">la empresa </w:t>
      </w:r>
      <w:r w:rsidRPr="00EF27B3">
        <w:rPr>
          <w:rFonts w:ascii="Tahoma" w:hAnsi="Tahoma" w:cs="Tahoma"/>
          <w:sz w:val="22"/>
          <w:szCs w:val="22"/>
        </w:rPr>
        <w:lastRenderedPageBreak/>
        <w:t>DOGPIGCAT S.A.C</w:t>
      </w:r>
      <w:r w:rsidRPr="00EF27B3">
        <w:rPr>
          <w:rFonts w:ascii="Tahoma" w:hAnsi="Tahoma" w:cs="Tahoma"/>
          <w:sz w:val="22"/>
          <w:szCs w:val="22"/>
          <w:lang w:val="es-PE"/>
        </w:rPr>
        <w:t xml:space="preserve">, dejando sin efecto legal alguno la constancia de inscripción electrónica generada a su favor. </w:t>
      </w:r>
    </w:p>
    <w:p w:rsidR="00EF27B3" w:rsidRPr="00EF27B3" w:rsidRDefault="00EF27B3" w:rsidP="00EF27B3">
      <w:pPr>
        <w:pStyle w:val="Prrafodelista"/>
        <w:rPr>
          <w:rFonts w:ascii="Tahoma" w:hAnsi="Tahoma" w:cs="Tahoma"/>
          <w:sz w:val="22"/>
          <w:szCs w:val="22"/>
        </w:rPr>
      </w:pPr>
    </w:p>
    <w:p w:rsidR="00EF27B3" w:rsidRPr="00EF27B3" w:rsidRDefault="00EF27B3" w:rsidP="00EF27B3">
      <w:pPr>
        <w:pStyle w:val="Prrafodelista"/>
        <w:widowControl/>
        <w:numPr>
          <w:ilvl w:val="0"/>
          <w:numId w:val="10"/>
        </w:numPr>
        <w:suppressAutoHyphens w:val="0"/>
        <w:ind w:left="567" w:hanging="567"/>
        <w:contextualSpacing/>
        <w:jc w:val="both"/>
        <w:rPr>
          <w:rFonts w:ascii="Tahoma" w:hAnsi="Tahoma" w:cs="Tahoma"/>
          <w:sz w:val="22"/>
          <w:szCs w:val="22"/>
        </w:rPr>
      </w:pPr>
      <w:r w:rsidRPr="00EF27B3">
        <w:rPr>
          <w:rFonts w:ascii="Tahoma" w:hAnsi="Tahoma" w:cs="Tahoma"/>
          <w:sz w:val="22"/>
          <w:szCs w:val="22"/>
        </w:rPr>
        <w:t xml:space="preserve">Visto ello, resulta claro que la Denunciada presentó ante la Subdirección del Registro Nacional de Proveedores un documento falso, toda vez la Municipalidad Distrital de Ventanilla señala a través del Oficio Nº 081-2008-MDV/GDEL dirigido a la Subdirección del Registro Nacional de Proveedores que el documento no ha sido emitido por dicha comuna, concluyendo que el documento no es auténtico.  </w:t>
      </w:r>
    </w:p>
    <w:p w:rsidR="00EF27B3" w:rsidRPr="00EF27B3" w:rsidRDefault="00EF27B3" w:rsidP="00EF27B3">
      <w:pPr>
        <w:pStyle w:val="Prrafodelista"/>
        <w:rPr>
          <w:rFonts w:ascii="Tahoma" w:hAnsi="Tahoma" w:cs="Tahoma"/>
          <w:sz w:val="22"/>
          <w:szCs w:val="22"/>
        </w:rPr>
      </w:pPr>
    </w:p>
    <w:p w:rsidR="00EF27B3" w:rsidRPr="00EF27B3" w:rsidRDefault="00EF27B3" w:rsidP="00EF27B3">
      <w:pPr>
        <w:pStyle w:val="Prrafodelista"/>
        <w:widowControl/>
        <w:numPr>
          <w:ilvl w:val="0"/>
          <w:numId w:val="10"/>
        </w:numPr>
        <w:suppressAutoHyphens w:val="0"/>
        <w:ind w:left="567" w:hanging="567"/>
        <w:contextualSpacing/>
        <w:jc w:val="both"/>
        <w:rPr>
          <w:rFonts w:ascii="Tahoma" w:hAnsi="Tahoma" w:cs="Tahoma"/>
          <w:sz w:val="22"/>
          <w:szCs w:val="22"/>
        </w:rPr>
      </w:pPr>
      <w:r w:rsidRPr="00EF27B3">
        <w:rPr>
          <w:rFonts w:ascii="Tahoma" w:hAnsi="Tahoma" w:cs="Tahoma"/>
          <w:sz w:val="22"/>
          <w:szCs w:val="22"/>
        </w:rPr>
        <w:t>C</w:t>
      </w:r>
      <w:r w:rsidRPr="00EF27B3">
        <w:rPr>
          <w:rFonts w:ascii="Tahoma" w:eastAsia="MS Mincho" w:hAnsi="Tahoma" w:cs="Tahoma"/>
          <w:sz w:val="22"/>
          <w:szCs w:val="22"/>
        </w:rPr>
        <w:t xml:space="preserve">onforme a lo expuesto en los párrafos precedentes, y de la valoración de las pruebas proporcionadas en el desarrollo del presente procedimiento, así como de la apreciación razonada de las mismas, </w:t>
      </w:r>
      <w:r w:rsidRPr="00EF27B3">
        <w:rPr>
          <w:rFonts w:ascii="Tahoma" w:hAnsi="Tahoma" w:cs="Tahoma"/>
          <w:sz w:val="22"/>
          <w:szCs w:val="22"/>
        </w:rPr>
        <w:t xml:space="preserve">este Colegiado considera que se ha acreditado objetivamente la configuración de la infracción imputada ya que para determinar la falsedad, constituye mérito suficiente que el documento cuestionado no haya sido expedido por su emisor o, como en el presente caso, que siendo válidamente expedido, haya sido adulterado en su contenido. </w:t>
      </w:r>
    </w:p>
    <w:p w:rsidR="00EF27B3" w:rsidRPr="00EF27B3" w:rsidRDefault="00EF27B3" w:rsidP="00EF27B3">
      <w:pPr>
        <w:pStyle w:val="Prrafodelista"/>
        <w:rPr>
          <w:rFonts w:ascii="Tahoma" w:hAnsi="Tahoma" w:cs="Tahoma"/>
          <w:sz w:val="22"/>
          <w:szCs w:val="22"/>
        </w:rPr>
      </w:pPr>
    </w:p>
    <w:p w:rsidR="00EF27B3" w:rsidRPr="00EF27B3" w:rsidRDefault="00EF27B3" w:rsidP="00EF27B3">
      <w:pPr>
        <w:pStyle w:val="Prrafodelista"/>
        <w:widowControl/>
        <w:numPr>
          <w:ilvl w:val="0"/>
          <w:numId w:val="10"/>
        </w:numPr>
        <w:suppressAutoHyphens w:val="0"/>
        <w:ind w:left="567" w:hanging="567"/>
        <w:contextualSpacing/>
        <w:jc w:val="both"/>
        <w:rPr>
          <w:rFonts w:ascii="Tahoma" w:hAnsi="Tahoma" w:cs="Tahoma"/>
          <w:sz w:val="22"/>
          <w:szCs w:val="22"/>
        </w:rPr>
      </w:pPr>
      <w:r w:rsidRPr="00EF27B3">
        <w:rPr>
          <w:rFonts w:ascii="Tahoma" w:hAnsi="Tahoma" w:cs="Tahoma"/>
          <w:sz w:val="22"/>
          <w:szCs w:val="22"/>
        </w:rPr>
        <w:t>Por lo expuesto, este Colegiado considera que en el presente caso se ha configurado la infracción tipificada en el numeral 10) del artículo 294 del Reglamento y, consecuentemente, existe mérito suficiente para imponer la correspondiente sanción administrativa.</w:t>
      </w:r>
    </w:p>
    <w:p w:rsidR="00EF27B3" w:rsidRPr="00EF27B3" w:rsidRDefault="00EF27B3" w:rsidP="00EF27B3">
      <w:pPr>
        <w:pStyle w:val="Prrafodelista"/>
        <w:rPr>
          <w:rFonts w:ascii="Tahoma" w:hAnsi="Tahoma" w:cs="Tahoma"/>
          <w:sz w:val="22"/>
          <w:szCs w:val="22"/>
        </w:rPr>
      </w:pPr>
    </w:p>
    <w:p w:rsidR="00EF27B3" w:rsidRPr="00EF27B3" w:rsidRDefault="00EF27B3" w:rsidP="00EF27B3">
      <w:pPr>
        <w:pStyle w:val="Prrafodelista"/>
        <w:widowControl/>
        <w:numPr>
          <w:ilvl w:val="0"/>
          <w:numId w:val="10"/>
        </w:numPr>
        <w:suppressAutoHyphens w:val="0"/>
        <w:ind w:left="567" w:hanging="567"/>
        <w:contextualSpacing/>
        <w:jc w:val="both"/>
        <w:rPr>
          <w:rFonts w:ascii="Tahoma" w:hAnsi="Tahoma" w:cs="Tahoma"/>
          <w:sz w:val="22"/>
          <w:szCs w:val="22"/>
        </w:rPr>
      </w:pPr>
      <w:r w:rsidRPr="00EF27B3">
        <w:rPr>
          <w:rFonts w:ascii="Tahoma" w:hAnsi="Tahoma" w:cs="Tahoma"/>
          <w:sz w:val="22"/>
          <w:szCs w:val="22"/>
        </w:rPr>
        <w:t xml:space="preserve">Teniendo en cuenta ello, y en virtud de los  criterios establecidos en el artículo 302 del Reglamento, para graduar la sanción de inhabilitación temporal a imponerse se considerarán, la naturaleza de la infracción, la intencionalidad del infractor, la reiteración, la conducta procesal del infractor, entre otros. </w:t>
      </w:r>
    </w:p>
    <w:p w:rsidR="00EF27B3" w:rsidRPr="00EF27B3" w:rsidRDefault="00EF27B3" w:rsidP="00EF27B3">
      <w:pPr>
        <w:pStyle w:val="Prrafodelista"/>
        <w:rPr>
          <w:rFonts w:ascii="Tahoma" w:hAnsi="Tahoma" w:cs="Tahoma"/>
          <w:sz w:val="22"/>
          <w:szCs w:val="22"/>
        </w:rPr>
      </w:pPr>
    </w:p>
    <w:p w:rsidR="00EF27B3" w:rsidRPr="00EF27B3" w:rsidRDefault="00EF27B3" w:rsidP="00EF27B3">
      <w:pPr>
        <w:pStyle w:val="Prrafodelista"/>
        <w:widowControl/>
        <w:numPr>
          <w:ilvl w:val="0"/>
          <w:numId w:val="10"/>
        </w:numPr>
        <w:suppressAutoHyphens w:val="0"/>
        <w:ind w:left="567" w:hanging="567"/>
        <w:contextualSpacing/>
        <w:jc w:val="both"/>
        <w:rPr>
          <w:rFonts w:ascii="Tahoma" w:hAnsi="Tahoma" w:cs="Tahoma"/>
          <w:sz w:val="22"/>
          <w:szCs w:val="22"/>
        </w:rPr>
      </w:pPr>
      <w:r w:rsidRPr="00EF27B3">
        <w:rPr>
          <w:rFonts w:ascii="Tahoma" w:hAnsi="Tahoma" w:cs="Tahoma"/>
          <w:sz w:val="22"/>
          <w:szCs w:val="22"/>
        </w:rPr>
        <w:t xml:space="preserve">Al respecto, </w:t>
      </w:r>
      <w:r w:rsidRPr="00EF27B3">
        <w:rPr>
          <w:rFonts w:ascii="Tahoma" w:hAnsi="Tahoma" w:cs="Tahoma"/>
          <w:color w:val="000000" w:themeColor="text1"/>
          <w:sz w:val="22"/>
          <w:szCs w:val="22"/>
        </w:rPr>
        <w:t xml:space="preserve">atendiendo a la naturaleza de la infracción, debe tenerse en cuenta que ésta reviste una considerable gravedad pues vulnera el </w:t>
      </w:r>
      <w:r w:rsidRPr="00EF27B3">
        <w:rPr>
          <w:rFonts w:ascii="Tahoma" w:hAnsi="Tahoma" w:cs="Tahoma"/>
          <w:i/>
          <w:color w:val="000000" w:themeColor="text1"/>
          <w:sz w:val="22"/>
          <w:szCs w:val="22"/>
        </w:rPr>
        <w:t>Principio de Moralidad</w:t>
      </w:r>
      <w:r w:rsidRPr="00EF27B3">
        <w:rPr>
          <w:rFonts w:ascii="Tahoma" w:hAnsi="Tahoma" w:cs="Tahoma"/>
          <w:color w:val="000000" w:themeColor="text1"/>
          <w:sz w:val="22"/>
          <w:szCs w:val="22"/>
        </w:rPr>
        <w:t xml:space="preserve"> que debe regir a todos los actos vinculados a las contrataciones públicas, conforme a lo prescrito en el literal b) del artículo 4 de la Ley. Así también</w:t>
      </w:r>
      <w:r w:rsidRPr="00EF27B3">
        <w:rPr>
          <w:rFonts w:ascii="Tahoma" w:hAnsi="Tahoma" w:cs="Tahoma"/>
          <w:sz w:val="22"/>
          <w:szCs w:val="22"/>
        </w:rPr>
        <w:t xml:space="preserve"> junto a la </w:t>
      </w:r>
      <w:r w:rsidRPr="00EF27B3">
        <w:rPr>
          <w:rFonts w:ascii="Tahoma" w:hAnsi="Tahoma" w:cs="Tahoma"/>
          <w:i/>
          <w:sz w:val="22"/>
          <w:szCs w:val="22"/>
        </w:rPr>
        <w:t>Fe Pública</w:t>
      </w:r>
      <w:r w:rsidRPr="00EF27B3">
        <w:rPr>
          <w:rFonts w:ascii="Tahoma" w:hAnsi="Tahoma" w:cs="Tahoma"/>
          <w:sz w:val="22"/>
          <w:szCs w:val="22"/>
        </w:rPr>
        <w:t>, constituyen bienes jurídicos merecedores de protección especial, pues constituyen los pilares que rigen las relaciones suscitadas entre la Administración Pública y los administrados.</w:t>
      </w:r>
    </w:p>
    <w:p w:rsidR="00EF27B3" w:rsidRPr="00EF27B3" w:rsidRDefault="00EF27B3" w:rsidP="00EF27B3">
      <w:pPr>
        <w:pStyle w:val="Prrafodelista"/>
        <w:rPr>
          <w:rFonts w:ascii="Tahoma" w:hAnsi="Tahoma" w:cs="Tahoma"/>
          <w:color w:val="000000" w:themeColor="text1"/>
          <w:sz w:val="22"/>
          <w:szCs w:val="22"/>
        </w:rPr>
      </w:pPr>
    </w:p>
    <w:p w:rsidR="00EF27B3" w:rsidRPr="00EF27B3" w:rsidRDefault="00EF27B3" w:rsidP="00EF27B3">
      <w:pPr>
        <w:pStyle w:val="Prrafodelista"/>
        <w:widowControl/>
        <w:numPr>
          <w:ilvl w:val="0"/>
          <w:numId w:val="10"/>
        </w:numPr>
        <w:suppressAutoHyphens w:val="0"/>
        <w:ind w:left="567" w:hanging="567"/>
        <w:contextualSpacing/>
        <w:jc w:val="both"/>
        <w:rPr>
          <w:rFonts w:ascii="Tahoma" w:hAnsi="Tahoma" w:cs="Tahoma"/>
          <w:sz w:val="22"/>
          <w:szCs w:val="22"/>
        </w:rPr>
      </w:pPr>
      <w:r w:rsidRPr="00EF27B3">
        <w:rPr>
          <w:rFonts w:ascii="Tahoma" w:hAnsi="Tahoma" w:cs="Tahoma"/>
          <w:color w:val="000000" w:themeColor="text1"/>
          <w:sz w:val="22"/>
          <w:szCs w:val="22"/>
        </w:rPr>
        <w:t xml:space="preserve">Ahora bien, </w:t>
      </w:r>
      <w:r w:rsidRPr="00EF27B3">
        <w:rPr>
          <w:rFonts w:ascii="Tahoma" w:hAnsi="Tahoma" w:cs="Tahoma"/>
          <w:sz w:val="22"/>
          <w:szCs w:val="22"/>
        </w:rPr>
        <w:t>la intencionalidad de la Denunciada debe ser tomada como agravante al momento de graduar la sanción a ser impuesta, pues el documento del cual se estableció su falsedad estaba dirigido a obtener de la Subdirección del Registro Nacional de Proveedores la inscripción como proveedor de bienes del Registro Nacional de Proveedores a fin de poder participar en procesos de selección y contratar con el Estado.</w:t>
      </w:r>
    </w:p>
    <w:p w:rsidR="00EF27B3" w:rsidRPr="00EF27B3" w:rsidRDefault="00EF27B3" w:rsidP="00EF27B3">
      <w:pPr>
        <w:pStyle w:val="Prrafodelista"/>
        <w:rPr>
          <w:rFonts w:ascii="Tahoma" w:hAnsi="Tahoma" w:cs="Tahoma"/>
          <w:color w:val="000000" w:themeColor="text1"/>
          <w:sz w:val="22"/>
          <w:szCs w:val="22"/>
        </w:rPr>
      </w:pPr>
    </w:p>
    <w:p w:rsidR="00EF27B3" w:rsidRPr="00EF27B3" w:rsidRDefault="00EF27B3" w:rsidP="00EF27B3">
      <w:pPr>
        <w:pStyle w:val="Prrafodelista"/>
        <w:widowControl/>
        <w:numPr>
          <w:ilvl w:val="0"/>
          <w:numId w:val="10"/>
        </w:numPr>
        <w:suppressAutoHyphens w:val="0"/>
        <w:ind w:left="567" w:hanging="567"/>
        <w:contextualSpacing/>
        <w:jc w:val="both"/>
        <w:rPr>
          <w:rFonts w:ascii="Tahoma" w:hAnsi="Tahoma" w:cs="Tahoma"/>
          <w:sz w:val="22"/>
          <w:szCs w:val="22"/>
        </w:rPr>
      </w:pPr>
      <w:r w:rsidRPr="00EF27B3">
        <w:rPr>
          <w:rFonts w:ascii="Tahoma" w:hAnsi="Tahoma" w:cs="Tahoma"/>
          <w:color w:val="000000" w:themeColor="text1"/>
          <w:sz w:val="22"/>
          <w:szCs w:val="22"/>
        </w:rPr>
        <w:t xml:space="preserve">En ese orden de ideas y respecto a la reiterancia, se advierte que </w:t>
      </w:r>
      <w:r w:rsidRPr="00EF27B3">
        <w:rPr>
          <w:rFonts w:ascii="Tahoma" w:hAnsi="Tahoma" w:cs="Tahoma"/>
          <w:sz w:val="22"/>
          <w:szCs w:val="22"/>
        </w:rPr>
        <w:t xml:space="preserve">la Denunciada </w:t>
      </w:r>
      <w:r w:rsidRPr="00EF27B3">
        <w:rPr>
          <w:rFonts w:ascii="Tahoma" w:hAnsi="Tahoma" w:cs="Tahoma"/>
          <w:color w:val="000000" w:themeColor="text1"/>
          <w:sz w:val="22"/>
          <w:szCs w:val="22"/>
        </w:rPr>
        <w:t>no se encuentra inhabilitada para participar en procesos de selección y contratar con el Estado</w:t>
      </w:r>
      <w:r w:rsidRPr="00EF27B3">
        <w:rPr>
          <w:rFonts w:ascii="Tahoma" w:hAnsi="Tahoma" w:cs="Tahoma"/>
          <w:sz w:val="22"/>
          <w:szCs w:val="22"/>
        </w:rPr>
        <w:t>; lo que propicia una situación atenuante a tomar en consideración.</w:t>
      </w:r>
    </w:p>
    <w:p w:rsidR="00EF27B3" w:rsidRPr="00EF27B3" w:rsidRDefault="00EF27B3" w:rsidP="00EF27B3">
      <w:pPr>
        <w:pStyle w:val="Prrafodelista"/>
        <w:rPr>
          <w:rFonts w:ascii="Tahoma" w:hAnsi="Tahoma" w:cs="Tahoma"/>
          <w:sz w:val="22"/>
          <w:szCs w:val="22"/>
        </w:rPr>
      </w:pPr>
    </w:p>
    <w:p w:rsidR="00EF27B3" w:rsidRPr="00EF27B3" w:rsidRDefault="00EF27B3" w:rsidP="00EF27B3">
      <w:pPr>
        <w:pStyle w:val="Prrafodelista"/>
        <w:widowControl/>
        <w:numPr>
          <w:ilvl w:val="0"/>
          <w:numId w:val="10"/>
        </w:numPr>
        <w:suppressAutoHyphens w:val="0"/>
        <w:ind w:left="567" w:hanging="567"/>
        <w:contextualSpacing/>
        <w:jc w:val="both"/>
        <w:rPr>
          <w:rFonts w:ascii="Tahoma" w:hAnsi="Tahoma" w:cs="Tahoma"/>
          <w:sz w:val="22"/>
          <w:szCs w:val="22"/>
        </w:rPr>
      </w:pPr>
      <w:r w:rsidRPr="00EF27B3">
        <w:rPr>
          <w:rFonts w:ascii="Tahoma" w:hAnsi="Tahoma" w:cs="Tahoma"/>
          <w:sz w:val="22"/>
          <w:szCs w:val="22"/>
        </w:rPr>
        <w:t>Respecto de la conducta procesal, conviene precisar que durante la sustanciación del presente procedimiento administrativo sancionador, la Denunciada no ha presentado los descargos dentro del plazo concedido, situación que se mantiene hasta la fecha de emisión de la presente resolución.</w:t>
      </w:r>
    </w:p>
    <w:p w:rsidR="00EF27B3" w:rsidRPr="00EF27B3" w:rsidRDefault="00EF27B3" w:rsidP="00EF27B3">
      <w:pPr>
        <w:pStyle w:val="Prrafodelista"/>
        <w:rPr>
          <w:rFonts w:ascii="Tahoma" w:hAnsi="Tahoma" w:cs="Tahoma"/>
          <w:color w:val="000000" w:themeColor="text1"/>
          <w:sz w:val="22"/>
          <w:szCs w:val="22"/>
          <w:lang w:val="es-PE"/>
        </w:rPr>
      </w:pPr>
    </w:p>
    <w:p w:rsidR="00EF27B3" w:rsidRPr="00EF27B3" w:rsidRDefault="00EF27B3" w:rsidP="00EF27B3">
      <w:pPr>
        <w:pStyle w:val="Prrafodelista"/>
        <w:widowControl/>
        <w:numPr>
          <w:ilvl w:val="0"/>
          <w:numId w:val="10"/>
        </w:numPr>
        <w:suppressAutoHyphens w:val="0"/>
        <w:ind w:left="567" w:hanging="567"/>
        <w:contextualSpacing/>
        <w:jc w:val="both"/>
        <w:rPr>
          <w:rFonts w:ascii="Tahoma" w:hAnsi="Tahoma" w:cs="Tahoma"/>
          <w:sz w:val="22"/>
          <w:szCs w:val="22"/>
        </w:rPr>
      </w:pPr>
      <w:r w:rsidRPr="00EF27B3">
        <w:rPr>
          <w:rFonts w:ascii="Tahoma" w:hAnsi="Tahoma" w:cs="Tahoma"/>
          <w:color w:val="000000" w:themeColor="text1"/>
          <w:sz w:val="22"/>
          <w:szCs w:val="22"/>
          <w:lang w:val="es-PE"/>
        </w:rPr>
        <w:t>No obstante lo mencionado, el Principio de Razonabilidad</w:t>
      </w:r>
      <w:r w:rsidRPr="00EF27B3">
        <w:rPr>
          <w:color w:val="000000" w:themeColor="text1"/>
          <w:sz w:val="22"/>
          <w:szCs w:val="22"/>
          <w:vertAlign w:val="superscript"/>
          <w:lang w:val="es-PE"/>
        </w:rPr>
        <w:footnoteReference w:id="2"/>
      </w:r>
      <w:r w:rsidRPr="00EF27B3">
        <w:rPr>
          <w:rFonts w:ascii="Tahoma" w:hAnsi="Tahoma" w:cs="Tahoma"/>
          <w:color w:val="000000" w:themeColor="text1"/>
          <w:sz w:val="22"/>
          <w:szCs w:val="22"/>
          <w:lang w:val="es-PE"/>
        </w:rPr>
        <w:t xml:space="preserve"> previsto en el numeral 3 del artículo 230 de la Ley № 27444 aconseja que las sanciones no deben ser desproporcionadas y que deben guardar relación con la conducta a reprimir, atendiendo a la necesidad que las empresas no sean privadas de su derecho de proveer al Estado más allá de lo estrictamente necesario para satisfacer los fines de la sanción, criterios que serán tomados en cuenta al momento de fijar la sanción a imponerse al Postor.</w:t>
      </w:r>
    </w:p>
    <w:p w:rsidR="00EF27B3" w:rsidRPr="00EF27B3" w:rsidRDefault="00EF27B3" w:rsidP="00EF27B3">
      <w:pPr>
        <w:pStyle w:val="Prrafodelista"/>
        <w:rPr>
          <w:rFonts w:ascii="Tahoma" w:hAnsi="Tahoma" w:cs="Tahoma"/>
          <w:sz w:val="22"/>
          <w:szCs w:val="22"/>
        </w:rPr>
      </w:pPr>
    </w:p>
    <w:p w:rsidR="00EF27B3" w:rsidRPr="00EF27B3" w:rsidRDefault="00EF27B3" w:rsidP="00EF27B3">
      <w:pPr>
        <w:pStyle w:val="Prrafodelista"/>
        <w:widowControl/>
        <w:numPr>
          <w:ilvl w:val="0"/>
          <w:numId w:val="10"/>
        </w:numPr>
        <w:suppressAutoHyphens w:val="0"/>
        <w:ind w:left="567" w:hanging="567"/>
        <w:contextualSpacing/>
        <w:jc w:val="both"/>
        <w:rPr>
          <w:rFonts w:ascii="Tahoma" w:hAnsi="Tahoma" w:cs="Tahoma"/>
          <w:sz w:val="22"/>
          <w:szCs w:val="22"/>
        </w:rPr>
      </w:pPr>
      <w:r w:rsidRPr="00EF27B3">
        <w:rPr>
          <w:rFonts w:ascii="Tahoma" w:hAnsi="Tahoma" w:cs="Tahoma"/>
          <w:sz w:val="22"/>
          <w:szCs w:val="22"/>
        </w:rPr>
        <w:t>Finalmente, es pertinente indicar que la falsificación de documentos constituye un ilícito penal, previsto y sancionado en el artículo 427 del Código Penal</w:t>
      </w:r>
      <w:r w:rsidRPr="00EF27B3">
        <w:rPr>
          <w:rStyle w:val="Refdenotaalpie"/>
          <w:rFonts w:ascii="Tahoma" w:hAnsi="Tahoma" w:cs="Tahoma"/>
          <w:sz w:val="22"/>
          <w:szCs w:val="22"/>
        </w:rPr>
        <w:footnoteReference w:id="3"/>
      </w:r>
      <w:r w:rsidRPr="00EF27B3">
        <w:rPr>
          <w:rFonts w:ascii="Tahoma" w:hAnsi="Tahoma" w:cs="Tahoma"/>
          <w:sz w:val="22"/>
          <w:szCs w:val="22"/>
        </w:rPr>
        <w:t>, el cual tutela como bien jurídico la fe pública y la funcionalidad del documento en el tráfico jurídico y trata de evitar perjuicios que afecten la confiabilidad especialmente en las adquisiciones que realiza el Estado. Por tanto, debe ponerse en conocimiento de la Presidencia Ejecutiva del OSCE los hechos expuestos para que proceda conforme a sus atribuciones.</w:t>
      </w:r>
    </w:p>
    <w:p w:rsidR="00EF27B3" w:rsidRPr="00EF27B3" w:rsidRDefault="00EF27B3" w:rsidP="00EF27B3">
      <w:pPr>
        <w:pStyle w:val="Prrafodelista"/>
        <w:rPr>
          <w:rFonts w:ascii="Tahoma" w:hAnsi="Tahoma" w:cs="Tahoma"/>
          <w:sz w:val="22"/>
          <w:szCs w:val="22"/>
          <w:lang w:val="es-MX"/>
        </w:rPr>
      </w:pPr>
    </w:p>
    <w:p w:rsidR="00EF27B3" w:rsidRPr="00EF27B3" w:rsidRDefault="00EF27B3" w:rsidP="00EF27B3">
      <w:pPr>
        <w:pStyle w:val="Prrafodelista"/>
        <w:widowControl/>
        <w:numPr>
          <w:ilvl w:val="0"/>
          <w:numId w:val="10"/>
        </w:numPr>
        <w:suppressAutoHyphens w:val="0"/>
        <w:ind w:left="567" w:hanging="567"/>
        <w:contextualSpacing/>
        <w:jc w:val="both"/>
        <w:rPr>
          <w:rFonts w:ascii="Tahoma" w:hAnsi="Tahoma" w:cs="Tahoma"/>
          <w:sz w:val="22"/>
          <w:szCs w:val="22"/>
        </w:rPr>
      </w:pPr>
      <w:r w:rsidRPr="00EF27B3">
        <w:rPr>
          <w:rFonts w:ascii="Tahoma" w:hAnsi="Tahoma" w:cs="Tahoma"/>
          <w:sz w:val="22"/>
          <w:szCs w:val="22"/>
          <w:lang w:val="es-MX"/>
        </w:rPr>
        <w:t xml:space="preserve">En vista de ello, y habiendo señalado que, el numeral 10) del artículo 294 del Reglamento establece que los proveedores, participantes, postores o contratistas que presenten documentos falsos o información inexacta en los procedimientos seguidos ante el Registro Nacional de Proveedores, como ocurrió en el presente caso bajo análisis, serán sancionados con inhabilitación temporal para contratar con el Estado por un período no menor de tres (03) meses ni mayor de un (01) año; </w:t>
      </w:r>
      <w:r w:rsidRPr="00EF27B3">
        <w:rPr>
          <w:rFonts w:ascii="Tahoma" w:hAnsi="Tahoma" w:cs="Tahoma"/>
          <w:sz w:val="22"/>
          <w:szCs w:val="22"/>
        </w:rPr>
        <w:t>corresponde imponerle la sanción administrativa de inhabilitación temporal en sus derechos para participar en procesos de selección y contratar con el Estado, por el período de doce (12) meses.</w:t>
      </w:r>
    </w:p>
    <w:p w:rsidR="00EF27B3" w:rsidRPr="00EF27B3" w:rsidRDefault="00EF27B3" w:rsidP="00EF27B3">
      <w:pPr>
        <w:jc w:val="both"/>
        <w:rPr>
          <w:rFonts w:ascii="Tahoma" w:hAnsi="Tahoma" w:cs="Tahoma"/>
          <w:sz w:val="22"/>
          <w:szCs w:val="22"/>
          <w:lang w:val="es-ES_tradnl"/>
        </w:rPr>
      </w:pPr>
    </w:p>
    <w:p w:rsidR="00EF27B3" w:rsidRPr="00EF27B3" w:rsidRDefault="00EF27B3" w:rsidP="00EF27B3">
      <w:pPr>
        <w:ind w:left="567"/>
        <w:jc w:val="both"/>
        <w:rPr>
          <w:rFonts w:ascii="Tahoma" w:eastAsia="Calibri" w:hAnsi="Tahoma" w:cs="Tahoma"/>
          <w:color w:val="000000"/>
          <w:sz w:val="22"/>
          <w:szCs w:val="22"/>
        </w:rPr>
      </w:pPr>
      <w:r w:rsidRPr="00EF27B3">
        <w:rPr>
          <w:rFonts w:ascii="Tahoma" w:eastAsia="Calibri" w:hAnsi="Tahoma" w:cs="Tahoma"/>
          <w:color w:val="000000"/>
          <w:sz w:val="22"/>
          <w:szCs w:val="22"/>
        </w:rPr>
        <w:t xml:space="preserve">Por estos fundamentos, de conformidad con el informe de la Vocal Ponente Dra. Ada Rosa Basulto Liewald y la intervención de los Señores Vocales Dra. Janette Elke Ramírez Maynetto y Dr. Carlos Fernando Fonseca Oliveira; atendiendo a la conformación de la Primera Sala del Tribunal de Contrataciones del Estado según </w:t>
      </w:r>
      <w:r w:rsidRPr="00EF27B3">
        <w:rPr>
          <w:rFonts w:ascii="Tahoma" w:eastAsia="Calibri" w:hAnsi="Tahoma" w:cs="Tahoma"/>
          <w:color w:val="000000"/>
          <w:sz w:val="22"/>
          <w:szCs w:val="22"/>
        </w:rPr>
        <w:lastRenderedPageBreak/>
        <w:t>lo dispuesto en la Resolución Nº 190-2010-OSCE/PRE de fecha 29 de marzo de 2010, en ejercicio de las facultades conferidas en el artículo 63º de la Ley de Contrataciones del Estado, aprobado por Decreto Legislativo Nº 1017, y su segunda disposición complementaria transitoria, así como los artículos 17º y 18º del Reglamento de Organización y Funciones del OSCE, aprobado por Decreto Supremo Nº 006-2009-EF; analizados los antecedentes y luego de agotado el debate correspondiente, por unanimidad</w:t>
      </w:r>
    </w:p>
    <w:p w:rsidR="00EF27B3" w:rsidRPr="00EF27B3" w:rsidRDefault="00EF27B3" w:rsidP="00EF27B3">
      <w:pPr>
        <w:ind w:firstLine="426"/>
        <w:jc w:val="both"/>
        <w:rPr>
          <w:rFonts w:ascii="Tahoma" w:hAnsi="Tahoma" w:cs="Tahoma"/>
          <w:sz w:val="22"/>
          <w:szCs w:val="22"/>
        </w:rPr>
      </w:pPr>
    </w:p>
    <w:p w:rsidR="00EF27B3" w:rsidRPr="00EF27B3" w:rsidRDefault="00EF27B3" w:rsidP="00EF27B3">
      <w:pPr>
        <w:ind w:firstLine="567"/>
        <w:jc w:val="both"/>
        <w:rPr>
          <w:rFonts w:ascii="Tahoma" w:hAnsi="Tahoma" w:cs="Tahoma"/>
          <w:b/>
          <w:sz w:val="22"/>
          <w:szCs w:val="22"/>
        </w:rPr>
      </w:pPr>
      <w:r w:rsidRPr="00EF27B3">
        <w:rPr>
          <w:rFonts w:ascii="Tahoma" w:hAnsi="Tahoma" w:cs="Tahoma"/>
          <w:b/>
          <w:sz w:val="22"/>
          <w:szCs w:val="22"/>
        </w:rPr>
        <w:t xml:space="preserve">LA SALA RESUELVE: </w:t>
      </w:r>
    </w:p>
    <w:p w:rsidR="00EF27B3" w:rsidRPr="00EF27B3" w:rsidRDefault="00EF27B3" w:rsidP="00EF27B3">
      <w:pPr>
        <w:jc w:val="both"/>
        <w:rPr>
          <w:rFonts w:ascii="Tahoma" w:hAnsi="Tahoma" w:cs="Tahoma"/>
          <w:snapToGrid w:val="0"/>
          <w:sz w:val="22"/>
          <w:szCs w:val="22"/>
        </w:rPr>
      </w:pPr>
    </w:p>
    <w:p w:rsidR="00EF27B3" w:rsidRPr="00EF27B3" w:rsidRDefault="00EF27B3" w:rsidP="00EF27B3">
      <w:pPr>
        <w:widowControl w:val="0"/>
        <w:numPr>
          <w:ilvl w:val="0"/>
          <w:numId w:val="8"/>
        </w:numPr>
        <w:tabs>
          <w:tab w:val="left" w:pos="0"/>
        </w:tabs>
        <w:suppressAutoHyphens/>
        <w:ind w:left="567" w:hanging="426"/>
        <w:jc w:val="both"/>
        <w:rPr>
          <w:rFonts w:ascii="Tahoma" w:hAnsi="Tahoma" w:cs="Tahoma"/>
          <w:sz w:val="22"/>
          <w:szCs w:val="22"/>
        </w:rPr>
      </w:pPr>
      <w:r w:rsidRPr="00EF27B3">
        <w:rPr>
          <w:rFonts w:ascii="Tahoma" w:hAnsi="Tahoma" w:cs="Tahoma"/>
          <w:sz w:val="22"/>
          <w:szCs w:val="22"/>
        </w:rPr>
        <w:t>Imponer a la empresa DOGPIGCAT S.A.C sanción administrativa de inhabilitación temporal por el período de doce (12) meses en sus derechos de participar en procesos de selección y contratar con el Estado, la cual entrará en vigencia a partir del sexto día hábil siguiente de notificada la Resolución.</w:t>
      </w:r>
    </w:p>
    <w:p w:rsidR="00EF27B3" w:rsidRPr="00EF27B3" w:rsidRDefault="00EF27B3" w:rsidP="00EF27B3">
      <w:pPr>
        <w:rPr>
          <w:rFonts w:ascii="Tahoma" w:hAnsi="Tahoma" w:cs="Tahoma"/>
          <w:sz w:val="22"/>
          <w:szCs w:val="22"/>
        </w:rPr>
      </w:pPr>
    </w:p>
    <w:p w:rsidR="00EF27B3" w:rsidRPr="00EF27B3" w:rsidRDefault="00EF27B3" w:rsidP="00EF27B3">
      <w:pPr>
        <w:pStyle w:val="Prrafodelista"/>
        <w:numPr>
          <w:ilvl w:val="0"/>
          <w:numId w:val="8"/>
        </w:numPr>
        <w:ind w:left="567" w:hanging="426"/>
        <w:jc w:val="both"/>
        <w:rPr>
          <w:rFonts w:ascii="Tahoma" w:hAnsi="Tahoma" w:cs="Tahoma"/>
          <w:sz w:val="22"/>
          <w:szCs w:val="22"/>
        </w:rPr>
      </w:pPr>
      <w:r w:rsidRPr="00EF27B3">
        <w:rPr>
          <w:rFonts w:ascii="Tahoma" w:hAnsi="Tahoma" w:cs="Tahoma"/>
          <w:sz w:val="22"/>
          <w:szCs w:val="22"/>
        </w:rPr>
        <w:t xml:space="preserve">Comunicar la Resolución al Registro Nacional de Proveedores del Organismo Supervisor de las Contrataciones del Estado (OSCE). </w:t>
      </w:r>
    </w:p>
    <w:p w:rsidR="00EF27B3" w:rsidRPr="00EF27B3" w:rsidRDefault="00EF27B3" w:rsidP="00EF27B3">
      <w:pPr>
        <w:pStyle w:val="Prrafodelista"/>
        <w:rPr>
          <w:rFonts w:ascii="Tahoma" w:hAnsi="Tahoma" w:cs="Tahoma"/>
          <w:sz w:val="22"/>
          <w:szCs w:val="22"/>
        </w:rPr>
      </w:pPr>
    </w:p>
    <w:p w:rsidR="00EF27B3" w:rsidRPr="00EF27B3" w:rsidRDefault="00EF27B3" w:rsidP="00EF27B3">
      <w:pPr>
        <w:widowControl w:val="0"/>
        <w:numPr>
          <w:ilvl w:val="0"/>
          <w:numId w:val="8"/>
        </w:numPr>
        <w:tabs>
          <w:tab w:val="left" w:pos="0"/>
        </w:tabs>
        <w:suppressAutoHyphens/>
        <w:ind w:left="567" w:hanging="426"/>
        <w:jc w:val="both"/>
        <w:rPr>
          <w:rFonts w:ascii="Tahoma" w:hAnsi="Tahoma" w:cs="Tahoma"/>
          <w:sz w:val="22"/>
          <w:szCs w:val="22"/>
        </w:rPr>
      </w:pPr>
      <w:r w:rsidRPr="00EF27B3">
        <w:rPr>
          <w:rFonts w:ascii="Tahoma" w:hAnsi="Tahoma" w:cs="Tahoma"/>
          <w:sz w:val="22"/>
          <w:szCs w:val="22"/>
        </w:rPr>
        <w:t xml:space="preserve">Comunicar a la Presidencia Ejecutiva del Organismo Superior de Contrataciones del Estado (OSCE) los hechos expuestos, a fin que en uso de sus atribuciones adopte las medidas pertinentes. </w:t>
      </w:r>
    </w:p>
    <w:p w:rsidR="00EF27B3" w:rsidRPr="00EF27B3" w:rsidRDefault="00EF27B3" w:rsidP="00EF27B3">
      <w:pPr>
        <w:pStyle w:val="Prrafodelista"/>
        <w:rPr>
          <w:rFonts w:ascii="Tahoma" w:hAnsi="Tahoma" w:cs="Tahoma"/>
          <w:color w:val="000000"/>
          <w:sz w:val="22"/>
          <w:szCs w:val="22"/>
        </w:rPr>
      </w:pPr>
    </w:p>
    <w:p w:rsidR="00EF27B3" w:rsidRPr="00EF27B3" w:rsidRDefault="00EF27B3" w:rsidP="00EF27B3">
      <w:pPr>
        <w:widowControl w:val="0"/>
        <w:numPr>
          <w:ilvl w:val="0"/>
          <w:numId w:val="8"/>
        </w:numPr>
        <w:tabs>
          <w:tab w:val="left" w:pos="0"/>
        </w:tabs>
        <w:suppressAutoHyphens/>
        <w:ind w:left="567" w:hanging="426"/>
        <w:jc w:val="both"/>
        <w:rPr>
          <w:rFonts w:ascii="Tahoma" w:hAnsi="Tahoma" w:cs="Tahoma"/>
          <w:sz w:val="22"/>
          <w:szCs w:val="22"/>
        </w:rPr>
      </w:pPr>
      <w:r w:rsidRPr="00EF27B3">
        <w:rPr>
          <w:rFonts w:ascii="Tahoma" w:hAnsi="Tahoma" w:cs="Tahoma"/>
          <w:color w:val="000000"/>
          <w:sz w:val="22"/>
          <w:szCs w:val="22"/>
        </w:rPr>
        <w:t>Poner en conocimiento del Ministerio Público, a efectos de que se formalice las acciones legales que correspondan.</w:t>
      </w:r>
    </w:p>
    <w:p w:rsidR="00EF27B3" w:rsidRPr="00EF27B3" w:rsidRDefault="00EF27B3" w:rsidP="00EF27B3">
      <w:pPr>
        <w:pStyle w:val="Prrafodelista"/>
        <w:ind w:left="426"/>
        <w:jc w:val="both"/>
        <w:rPr>
          <w:rFonts w:ascii="Tahoma" w:hAnsi="Tahoma" w:cs="Tahoma"/>
          <w:color w:val="000000" w:themeColor="text1"/>
          <w:sz w:val="22"/>
          <w:szCs w:val="22"/>
          <w:lang w:val="es-ES"/>
        </w:rPr>
      </w:pPr>
    </w:p>
    <w:p w:rsidR="00EF27B3" w:rsidRPr="00EF27B3" w:rsidRDefault="00EF27B3" w:rsidP="00EF27B3">
      <w:pPr>
        <w:pStyle w:val="Textoindependiente21"/>
        <w:ind w:firstLine="567"/>
        <w:rPr>
          <w:rFonts w:cs="Tahoma"/>
          <w:szCs w:val="22"/>
        </w:rPr>
      </w:pPr>
      <w:r w:rsidRPr="00EF27B3">
        <w:rPr>
          <w:rFonts w:cs="Tahoma"/>
          <w:szCs w:val="22"/>
        </w:rPr>
        <w:t>Regístrese, comuníquese y publíquese.</w:t>
      </w:r>
    </w:p>
    <w:p w:rsidR="00EF27B3" w:rsidRPr="00EF27B3" w:rsidRDefault="00EF27B3" w:rsidP="00EF27B3">
      <w:pPr>
        <w:jc w:val="center"/>
        <w:rPr>
          <w:rFonts w:ascii="Tahoma" w:hAnsi="Tahoma" w:cs="Tahoma"/>
          <w:b/>
          <w:sz w:val="22"/>
          <w:szCs w:val="22"/>
        </w:rPr>
      </w:pPr>
    </w:p>
    <w:p w:rsidR="00EF27B3" w:rsidRPr="00EF27B3" w:rsidRDefault="00EF27B3" w:rsidP="00EF27B3">
      <w:pPr>
        <w:jc w:val="center"/>
        <w:rPr>
          <w:rFonts w:ascii="Tahoma" w:hAnsi="Tahoma" w:cs="Tahoma"/>
          <w:b/>
          <w:sz w:val="22"/>
          <w:szCs w:val="22"/>
        </w:rPr>
      </w:pPr>
    </w:p>
    <w:p w:rsidR="00EF27B3" w:rsidRPr="00EF27B3" w:rsidRDefault="00EF27B3" w:rsidP="00EF27B3">
      <w:pPr>
        <w:jc w:val="center"/>
        <w:rPr>
          <w:rFonts w:ascii="Tahoma" w:hAnsi="Tahoma" w:cs="Tahoma"/>
          <w:b/>
          <w:sz w:val="22"/>
          <w:szCs w:val="22"/>
        </w:rPr>
      </w:pPr>
    </w:p>
    <w:p w:rsidR="00EF27B3" w:rsidRPr="00EF27B3" w:rsidRDefault="00EF27B3" w:rsidP="00EF27B3">
      <w:pPr>
        <w:jc w:val="center"/>
        <w:rPr>
          <w:rFonts w:ascii="Tahoma" w:hAnsi="Tahoma" w:cs="Tahoma"/>
          <w:b/>
          <w:sz w:val="22"/>
          <w:szCs w:val="22"/>
        </w:rPr>
      </w:pPr>
    </w:p>
    <w:p w:rsidR="00EF27B3" w:rsidRPr="00EF27B3" w:rsidRDefault="00EF27B3" w:rsidP="00EF27B3">
      <w:pPr>
        <w:jc w:val="center"/>
        <w:rPr>
          <w:rFonts w:ascii="Tahoma" w:hAnsi="Tahoma" w:cs="Tahoma"/>
          <w:b/>
          <w:sz w:val="22"/>
          <w:szCs w:val="22"/>
        </w:rPr>
      </w:pPr>
    </w:p>
    <w:p w:rsidR="00EF27B3" w:rsidRPr="00EF27B3" w:rsidRDefault="00EF27B3" w:rsidP="00EF27B3">
      <w:pPr>
        <w:jc w:val="center"/>
        <w:rPr>
          <w:rFonts w:ascii="Tahoma" w:hAnsi="Tahoma" w:cs="Tahoma"/>
          <w:b/>
          <w:sz w:val="22"/>
          <w:szCs w:val="22"/>
        </w:rPr>
      </w:pPr>
    </w:p>
    <w:p w:rsidR="00EF27B3" w:rsidRPr="00EF27B3" w:rsidRDefault="00EF27B3" w:rsidP="00EF27B3">
      <w:pPr>
        <w:jc w:val="center"/>
        <w:rPr>
          <w:rFonts w:ascii="Tahoma" w:hAnsi="Tahoma" w:cs="Tahoma"/>
          <w:b/>
          <w:sz w:val="22"/>
          <w:szCs w:val="22"/>
        </w:rPr>
      </w:pPr>
    </w:p>
    <w:p w:rsidR="00EF27B3" w:rsidRPr="00EF27B3" w:rsidRDefault="00EF27B3" w:rsidP="00EF27B3">
      <w:pPr>
        <w:jc w:val="center"/>
        <w:rPr>
          <w:rFonts w:ascii="Tahoma" w:hAnsi="Tahoma" w:cs="Tahoma"/>
          <w:b/>
          <w:sz w:val="22"/>
          <w:szCs w:val="22"/>
        </w:rPr>
      </w:pPr>
    </w:p>
    <w:p w:rsidR="00EF27B3" w:rsidRPr="00EF27B3" w:rsidRDefault="00EF27B3" w:rsidP="00EF27B3">
      <w:pPr>
        <w:jc w:val="center"/>
        <w:rPr>
          <w:rFonts w:ascii="Tahoma" w:hAnsi="Tahoma" w:cs="Tahoma"/>
          <w:b/>
          <w:sz w:val="22"/>
          <w:szCs w:val="22"/>
        </w:rPr>
      </w:pPr>
    </w:p>
    <w:p w:rsidR="00EF27B3" w:rsidRPr="00EF27B3" w:rsidRDefault="00EF27B3" w:rsidP="00EF27B3">
      <w:pPr>
        <w:jc w:val="center"/>
        <w:rPr>
          <w:rFonts w:ascii="Tahoma" w:hAnsi="Tahoma" w:cs="Tahoma"/>
          <w:b/>
          <w:sz w:val="22"/>
          <w:szCs w:val="22"/>
        </w:rPr>
      </w:pPr>
    </w:p>
    <w:p w:rsidR="00EF27B3" w:rsidRPr="00EF27B3" w:rsidRDefault="00EF27B3" w:rsidP="00EF27B3">
      <w:pPr>
        <w:jc w:val="center"/>
        <w:rPr>
          <w:rFonts w:ascii="Tahoma" w:hAnsi="Tahoma" w:cs="Tahoma"/>
          <w:b/>
          <w:shadow/>
          <w:sz w:val="22"/>
          <w:szCs w:val="22"/>
          <w:lang w:val="pt-BR"/>
        </w:rPr>
      </w:pPr>
      <w:r w:rsidRPr="00EF27B3">
        <w:rPr>
          <w:rFonts w:ascii="Tahoma" w:hAnsi="Tahoma" w:cs="Tahoma"/>
          <w:b/>
          <w:shadow/>
          <w:sz w:val="22"/>
          <w:szCs w:val="22"/>
          <w:lang w:val="pt-BR"/>
        </w:rPr>
        <w:t>PRESIDENTE</w:t>
      </w:r>
    </w:p>
    <w:p w:rsidR="00EF27B3" w:rsidRPr="00EF27B3" w:rsidRDefault="00EF27B3" w:rsidP="00EF27B3">
      <w:pPr>
        <w:ind w:firstLine="708"/>
        <w:rPr>
          <w:rFonts w:ascii="Tahoma" w:hAnsi="Tahoma" w:cs="Tahoma"/>
          <w:b/>
          <w:shadow/>
          <w:sz w:val="22"/>
          <w:szCs w:val="22"/>
          <w:lang w:val="pt-BR"/>
        </w:rPr>
      </w:pPr>
    </w:p>
    <w:p w:rsidR="00EF27B3" w:rsidRPr="00EF27B3" w:rsidRDefault="00EF27B3" w:rsidP="00EF27B3">
      <w:pPr>
        <w:ind w:firstLine="708"/>
        <w:rPr>
          <w:rFonts w:ascii="Tahoma" w:hAnsi="Tahoma" w:cs="Tahoma"/>
          <w:b/>
          <w:shadow/>
          <w:sz w:val="22"/>
          <w:szCs w:val="22"/>
          <w:lang w:val="pt-BR"/>
        </w:rPr>
      </w:pPr>
      <w:r w:rsidRPr="00EF27B3">
        <w:rPr>
          <w:rFonts w:ascii="Tahoma" w:hAnsi="Tahoma" w:cs="Tahoma"/>
          <w:b/>
          <w:shadow/>
          <w:sz w:val="22"/>
          <w:szCs w:val="22"/>
          <w:lang w:val="pt-BR"/>
        </w:rPr>
        <w:t xml:space="preserve">VOCAL           </w:t>
      </w:r>
      <w:r w:rsidRPr="00EF27B3">
        <w:rPr>
          <w:rFonts w:ascii="Tahoma" w:hAnsi="Tahoma" w:cs="Tahoma"/>
          <w:b/>
          <w:shadow/>
          <w:sz w:val="22"/>
          <w:szCs w:val="22"/>
          <w:lang w:val="pt-BR"/>
        </w:rPr>
        <w:tab/>
      </w:r>
      <w:r w:rsidRPr="00EF27B3">
        <w:rPr>
          <w:rFonts w:ascii="Tahoma" w:hAnsi="Tahoma" w:cs="Tahoma"/>
          <w:b/>
          <w:shadow/>
          <w:sz w:val="22"/>
          <w:szCs w:val="22"/>
          <w:lang w:val="pt-BR"/>
        </w:rPr>
        <w:tab/>
        <w:t xml:space="preserve">                                                                 VOCAL</w:t>
      </w:r>
    </w:p>
    <w:p w:rsidR="00EF27B3" w:rsidRPr="00EF27B3" w:rsidRDefault="00EF27B3" w:rsidP="00EF27B3">
      <w:pPr>
        <w:rPr>
          <w:rFonts w:ascii="Tahoma" w:hAnsi="Tahoma" w:cs="Tahoma"/>
          <w:sz w:val="22"/>
          <w:szCs w:val="22"/>
          <w:lang w:val="pt-BR"/>
        </w:rPr>
      </w:pPr>
    </w:p>
    <w:p w:rsidR="00EF27B3" w:rsidRPr="00EF27B3" w:rsidRDefault="00EF27B3" w:rsidP="00EF27B3">
      <w:pPr>
        <w:rPr>
          <w:rFonts w:ascii="Tahoma" w:hAnsi="Tahoma" w:cs="Tahoma"/>
          <w:sz w:val="22"/>
          <w:szCs w:val="22"/>
          <w:lang w:val="pt-BR"/>
        </w:rPr>
      </w:pPr>
    </w:p>
    <w:p w:rsidR="00EF27B3" w:rsidRPr="00EF27B3" w:rsidRDefault="00EF27B3" w:rsidP="00EF27B3">
      <w:pPr>
        <w:jc w:val="both"/>
        <w:rPr>
          <w:rFonts w:ascii="Tahoma" w:hAnsi="Tahoma" w:cs="Tahoma"/>
          <w:sz w:val="22"/>
          <w:szCs w:val="22"/>
          <w:lang w:val="pt-BR"/>
        </w:rPr>
      </w:pPr>
      <w:r w:rsidRPr="00EF27B3">
        <w:rPr>
          <w:rFonts w:ascii="Tahoma" w:hAnsi="Tahoma" w:cs="Tahoma"/>
          <w:sz w:val="22"/>
          <w:szCs w:val="22"/>
          <w:lang w:val="pt-BR"/>
        </w:rPr>
        <w:t>ss.</w:t>
      </w:r>
    </w:p>
    <w:p w:rsidR="00EF27B3" w:rsidRPr="00EF27B3" w:rsidRDefault="00EF27B3" w:rsidP="00EF27B3">
      <w:pPr>
        <w:pStyle w:val="Textoindependiente21"/>
        <w:tabs>
          <w:tab w:val="left" w:pos="5250"/>
        </w:tabs>
        <w:rPr>
          <w:rFonts w:cs="Tahoma"/>
          <w:szCs w:val="22"/>
          <w:lang w:val="pt-BR"/>
        </w:rPr>
      </w:pPr>
      <w:r w:rsidRPr="00EF27B3">
        <w:rPr>
          <w:rFonts w:cs="Tahoma"/>
          <w:szCs w:val="22"/>
          <w:lang w:val="pt-BR"/>
        </w:rPr>
        <w:t>Basulto Liewald.</w:t>
      </w:r>
    </w:p>
    <w:p w:rsidR="00EF27B3" w:rsidRPr="00EF27B3" w:rsidRDefault="00EF27B3" w:rsidP="00EF27B3">
      <w:pPr>
        <w:pStyle w:val="Textoindependiente21"/>
        <w:tabs>
          <w:tab w:val="left" w:pos="5250"/>
        </w:tabs>
        <w:rPr>
          <w:rFonts w:cs="Tahoma"/>
          <w:szCs w:val="22"/>
          <w:lang w:val="pt-BR"/>
        </w:rPr>
      </w:pPr>
      <w:r w:rsidRPr="00EF27B3">
        <w:rPr>
          <w:rFonts w:cs="Tahoma"/>
          <w:szCs w:val="22"/>
          <w:lang w:val="en-US"/>
        </w:rPr>
        <w:t>Ramírez Maynetto.</w:t>
      </w:r>
    </w:p>
    <w:p w:rsidR="001D5C36" w:rsidRPr="00EF27B3" w:rsidRDefault="00EF27B3" w:rsidP="00EF27B3">
      <w:pPr>
        <w:pStyle w:val="Textoindependiente21"/>
        <w:rPr>
          <w:rFonts w:cs="Tahoma"/>
          <w:szCs w:val="22"/>
        </w:rPr>
      </w:pPr>
      <w:r w:rsidRPr="00EF27B3">
        <w:rPr>
          <w:rFonts w:cs="Tahoma"/>
          <w:szCs w:val="22"/>
        </w:rPr>
        <w:t>Fonseca Oliveira.</w:t>
      </w:r>
    </w:p>
    <w:sectPr w:rsidR="001D5C36" w:rsidRPr="00EF27B3" w:rsidSect="00B96798">
      <w:headerReference w:type="default" r:id="rId8"/>
      <w:footerReference w:type="default" r:id="rId9"/>
      <w:pgSz w:w="11906" w:h="16838"/>
      <w:pgMar w:top="3402" w:right="1701" w:bottom="1135"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7C93" w:rsidRDefault="00387C93" w:rsidP="00EF27B3">
      <w:r>
        <w:separator/>
      </w:r>
    </w:p>
  </w:endnote>
  <w:endnote w:type="continuationSeparator" w:id="1">
    <w:p w:rsidR="00387C93" w:rsidRDefault="00387C93" w:rsidP="00EF27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74763"/>
      <w:docPartObj>
        <w:docPartGallery w:val="Page Numbers (Bottom of Page)"/>
        <w:docPartUnique/>
      </w:docPartObj>
    </w:sdtPr>
    <w:sdtContent>
      <w:sdt>
        <w:sdtPr>
          <w:id w:val="216747541"/>
          <w:docPartObj>
            <w:docPartGallery w:val="Page Numbers (Top of Page)"/>
            <w:docPartUnique/>
          </w:docPartObj>
        </w:sdtPr>
        <w:sdtContent>
          <w:p w:rsidR="0035353E" w:rsidRDefault="00667E34">
            <w:pPr>
              <w:pStyle w:val="Piedepgina"/>
              <w:jc w:val="center"/>
            </w:pPr>
            <w:r>
              <w:t xml:space="preserve">Página </w:t>
            </w:r>
            <w:r w:rsidR="00F1505D">
              <w:rPr>
                <w:b/>
              </w:rPr>
              <w:fldChar w:fldCharType="begin"/>
            </w:r>
            <w:r>
              <w:rPr>
                <w:b/>
              </w:rPr>
              <w:instrText>PAGE</w:instrText>
            </w:r>
            <w:r w:rsidR="00F1505D">
              <w:rPr>
                <w:b/>
              </w:rPr>
              <w:fldChar w:fldCharType="separate"/>
            </w:r>
            <w:r w:rsidR="00577BB0">
              <w:rPr>
                <w:b/>
                <w:noProof/>
              </w:rPr>
              <w:t>1</w:t>
            </w:r>
            <w:r w:rsidR="00F1505D">
              <w:rPr>
                <w:b/>
              </w:rPr>
              <w:fldChar w:fldCharType="end"/>
            </w:r>
            <w:r>
              <w:t xml:space="preserve"> de </w:t>
            </w:r>
            <w:r w:rsidR="00F1505D">
              <w:rPr>
                <w:b/>
              </w:rPr>
              <w:fldChar w:fldCharType="begin"/>
            </w:r>
            <w:r>
              <w:rPr>
                <w:b/>
              </w:rPr>
              <w:instrText>NUMPAGES</w:instrText>
            </w:r>
            <w:r w:rsidR="00F1505D">
              <w:rPr>
                <w:b/>
              </w:rPr>
              <w:fldChar w:fldCharType="separate"/>
            </w:r>
            <w:r w:rsidR="00577BB0">
              <w:rPr>
                <w:b/>
                <w:noProof/>
              </w:rPr>
              <w:t>6</w:t>
            </w:r>
            <w:r w:rsidR="00F1505D">
              <w:rPr>
                <w:b/>
              </w:rPr>
              <w:fldChar w:fldCharType="end"/>
            </w:r>
          </w:p>
        </w:sdtContent>
      </w:sdt>
    </w:sdtContent>
  </w:sdt>
  <w:p w:rsidR="0035353E" w:rsidRDefault="00387C93">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7C93" w:rsidRDefault="00387C93" w:rsidP="00EF27B3">
      <w:r>
        <w:separator/>
      </w:r>
    </w:p>
  </w:footnote>
  <w:footnote w:type="continuationSeparator" w:id="1">
    <w:p w:rsidR="00387C93" w:rsidRDefault="00387C93" w:rsidP="00EF27B3">
      <w:r>
        <w:continuationSeparator/>
      </w:r>
    </w:p>
  </w:footnote>
  <w:footnote w:id="2">
    <w:p w:rsidR="00EF27B3" w:rsidRPr="00CE749E" w:rsidRDefault="00EF27B3" w:rsidP="00EF27B3">
      <w:pPr>
        <w:pStyle w:val="Textonotapie"/>
        <w:tabs>
          <w:tab w:val="left" w:pos="360"/>
        </w:tabs>
        <w:ind w:left="360" w:hanging="360"/>
        <w:rPr>
          <w:rFonts w:cs="Tahoma"/>
          <w:sz w:val="16"/>
          <w:szCs w:val="16"/>
        </w:rPr>
      </w:pPr>
      <w:r w:rsidRPr="00CE749E">
        <w:rPr>
          <w:rStyle w:val="Refdenotaalpie"/>
          <w:rFonts w:cs="Tahoma"/>
          <w:sz w:val="16"/>
          <w:szCs w:val="16"/>
        </w:rPr>
        <w:footnoteRef/>
      </w:r>
      <w:r w:rsidRPr="00CE749E">
        <w:rPr>
          <w:rFonts w:cs="Tahoma"/>
          <w:sz w:val="16"/>
          <w:szCs w:val="16"/>
        </w:rPr>
        <w:t xml:space="preserve"> </w:t>
      </w:r>
      <w:r w:rsidRPr="00CE749E">
        <w:rPr>
          <w:rFonts w:cs="Tahoma"/>
          <w:b/>
          <w:sz w:val="16"/>
          <w:szCs w:val="16"/>
        </w:rPr>
        <w:t>Artículo 230.-</w:t>
      </w:r>
      <w:r w:rsidRPr="00CE749E">
        <w:rPr>
          <w:rFonts w:cs="Tahoma"/>
          <w:sz w:val="16"/>
          <w:szCs w:val="16"/>
        </w:rPr>
        <w:t xml:space="preserve"> </w:t>
      </w:r>
      <w:r w:rsidRPr="00CE749E">
        <w:rPr>
          <w:rFonts w:cs="Tahoma"/>
          <w:b/>
          <w:sz w:val="16"/>
          <w:szCs w:val="16"/>
        </w:rPr>
        <w:t>Principios de la potestad sancionadora</w:t>
      </w:r>
    </w:p>
    <w:p w:rsidR="00EF27B3" w:rsidRPr="00CE749E" w:rsidRDefault="00EF27B3" w:rsidP="00EF27B3">
      <w:pPr>
        <w:pStyle w:val="Textonotapie"/>
        <w:tabs>
          <w:tab w:val="left" w:pos="0"/>
        </w:tabs>
        <w:rPr>
          <w:rFonts w:cs="Tahoma"/>
          <w:sz w:val="16"/>
          <w:szCs w:val="16"/>
        </w:rPr>
      </w:pPr>
      <w:r w:rsidRPr="00CE749E">
        <w:rPr>
          <w:rFonts w:cs="Tahoma"/>
          <w:sz w:val="16"/>
          <w:szCs w:val="16"/>
        </w:rPr>
        <w:t xml:space="preserve">    […]</w:t>
      </w:r>
    </w:p>
    <w:p w:rsidR="00EF27B3" w:rsidRPr="00CE749E" w:rsidRDefault="00EF27B3" w:rsidP="00EF27B3">
      <w:pPr>
        <w:pStyle w:val="Textonotapie"/>
        <w:tabs>
          <w:tab w:val="left" w:pos="142"/>
        </w:tabs>
        <w:ind w:left="142"/>
        <w:rPr>
          <w:sz w:val="16"/>
          <w:szCs w:val="16"/>
        </w:rPr>
      </w:pPr>
      <w:r w:rsidRPr="00CE749E">
        <w:rPr>
          <w:rFonts w:cs="Tahoma"/>
          <w:sz w:val="16"/>
          <w:szCs w:val="16"/>
        </w:rPr>
        <w:t>3. Razonabilidad.- Las autoridades deben prever que la comisión de la conducta sancionable no resulte más ventajosa para el infractor que cumplir las normas infringidas  o asumir la sanción; así como que la determinación de la sanción considere criterios como la existencia o no de intencionalidad, el perjuicio causado, las circunstancias de la comisión de la infracción y la repetición en la comisión de la infracción.</w:t>
      </w:r>
    </w:p>
  </w:footnote>
  <w:footnote w:id="3">
    <w:p w:rsidR="00EF27B3" w:rsidRPr="00CE749E" w:rsidRDefault="00EF27B3" w:rsidP="00EF27B3">
      <w:pPr>
        <w:pStyle w:val="Encabezado"/>
        <w:tabs>
          <w:tab w:val="left" w:pos="0"/>
        </w:tabs>
        <w:jc w:val="both"/>
        <w:rPr>
          <w:b/>
          <w:sz w:val="16"/>
          <w:szCs w:val="16"/>
        </w:rPr>
      </w:pPr>
      <w:r w:rsidRPr="00CE749E">
        <w:rPr>
          <w:rStyle w:val="Refdenotaalpie"/>
          <w:sz w:val="16"/>
          <w:szCs w:val="16"/>
        </w:rPr>
        <w:footnoteRef/>
      </w:r>
      <w:r w:rsidRPr="00CE749E">
        <w:rPr>
          <w:sz w:val="16"/>
          <w:szCs w:val="16"/>
        </w:rPr>
        <w:t xml:space="preserve"> </w:t>
      </w:r>
      <w:r w:rsidRPr="00CE749E">
        <w:rPr>
          <w:b/>
          <w:sz w:val="16"/>
          <w:szCs w:val="16"/>
        </w:rPr>
        <w:t>Articulo 427.- Falsificación de documentos</w:t>
      </w:r>
    </w:p>
    <w:p w:rsidR="00EF27B3" w:rsidRPr="00CE749E" w:rsidRDefault="00EF27B3" w:rsidP="00EF27B3">
      <w:pPr>
        <w:pStyle w:val="Encabezado"/>
        <w:tabs>
          <w:tab w:val="left" w:pos="142"/>
        </w:tabs>
        <w:ind w:left="142"/>
        <w:jc w:val="both"/>
        <w:rPr>
          <w:sz w:val="16"/>
          <w:szCs w:val="16"/>
        </w:rPr>
      </w:pPr>
      <w:r w:rsidRPr="00CE749E">
        <w:rPr>
          <w:sz w:val="16"/>
          <w:szCs w:val="16"/>
        </w:rPr>
        <w:t>El que hace, en todo o en parte, un documento falso o altera uno verdadero que pueda dar origen a derecho u obligación o servir para probar un hecho, con el propósito de utilizar el documento, será reprimido, si de uso puede resultar algún perjuicio, con pena privativa de libertad no menor de dos ni mayor a diez años y con treinta a noventa días-multa si se trata de un documento público, registro público, título auténtico o cualquier otro transmisible por endoso o al portador o con pena privativa de libertad no menor de dos ni mayor a cuatro años, y con ciento ochenta a trescientos sesenticinco días multa, si se trata de un documento privado.</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BB0" w:rsidRDefault="00577BB0" w:rsidP="00577BB0">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577BB0" w:rsidRDefault="00577BB0" w:rsidP="00577BB0">
    <w:pPr>
      <w:pStyle w:val="Encabezado"/>
      <w:rPr>
        <w:noProof/>
      </w:rPr>
    </w:pPr>
  </w:p>
  <w:p w:rsidR="00577BB0" w:rsidRDefault="00577BB0" w:rsidP="00577BB0">
    <w:pPr>
      <w:pStyle w:val="Encabezado"/>
      <w:rPr>
        <w:noProof/>
      </w:rPr>
    </w:pPr>
  </w:p>
  <w:p w:rsidR="00577BB0" w:rsidRDefault="00577BB0" w:rsidP="00577BB0">
    <w:pPr>
      <w:pStyle w:val="Encabezado"/>
      <w:rPr>
        <w:noProof/>
      </w:rPr>
    </w:pPr>
  </w:p>
  <w:p w:rsidR="00577BB0" w:rsidRDefault="00577BB0" w:rsidP="00577BB0">
    <w:pPr>
      <w:pStyle w:val="Encabezado"/>
      <w:jc w:val="center"/>
    </w:pPr>
    <w:r>
      <w:rPr>
        <w:rFonts w:ascii="Monotype Corsiva" w:hAnsi="Monotype Corsiva"/>
        <w:b/>
        <w:sz w:val="44"/>
        <w:szCs w:val="44"/>
      </w:rPr>
      <w:t xml:space="preserve">Resolución Nº   </w:t>
    </w:r>
    <w:r>
      <w:rPr>
        <w:rFonts w:ascii="Tahoma" w:hAnsi="Tahoma" w:cs="Tahoma"/>
        <w:b/>
        <w:sz w:val="44"/>
        <w:szCs w:val="44"/>
      </w:rPr>
      <w:t>244-2011-TC-S1</w:t>
    </w:r>
  </w:p>
  <w:p w:rsidR="00577BB0" w:rsidRDefault="00577BB0">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6453D"/>
    <w:multiLevelType w:val="hybridMultilevel"/>
    <w:tmpl w:val="3F168A50"/>
    <w:lvl w:ilvl="0" w:tplc="92461B3C">
      <w:start w:val="1"/>
      <w:numFmt w:val="decimal"/>
      <w:lvlText w:val="%1."/>
      <w:lvlJc w:val="left"/>
      <w:pPr>
        <w:ind w:left="1120" w:hanging="360"/>
      </w:pPr>
      <w:rPr>
        <w:b/>
      </w:rPr>
    </w:lvl>
    <w:lvl w:ilvl="1" w:tplc="0C0A0019" w:tentative="1">
      <w:start w:val="1"/>
      <w:numFmt w:val="lowerLetter"/>
      <w:lvlText w:val="%2."/>
      <w:lvlJc w:val="left"/>
      <w:pPr>
        <w:ind w:left="1840" w:hanging="360"/>
      </w:pPr>
    </w:lvl>
    <w:lvl w:ilvl="2" w:tplc="0C0A001B" w:tentative="1">
      <w:start w:val="1"/>
      <w:numFmt w:val="lowerRoman"/>
      <w:lvlText w:val="%3."/>
      <w:lvlJc w:val="right"/>
      <w:pPr>
        <w:ind w:left="2560" w:hanging="180"/>
      </w:pPr>
    </w:lvl>
    <w:lvl w:ilvl="3" w:tplc="0C0A000F" w:tentative="1">
      <w:start w:val="1"/>
      <w:numFmt w:val="decimal"/>
      <w:lvlText w:val="%4."/>
      <w:lvlJc w:val="left"/>
      <w:pPr>
        <w:ind w:left="3280" w:hanging="360"/>
      </w:pPr>
    </w:lvl>
    <w:lvl w:ilvl="4" w:tplc="0C0A0019" w:tentative="1">
      <w:start w:val="1"/>
      <w:numFmt w:val="lowerLetter"/>
      <w:lvlText w:val="%5."/>
      <w:lvlJc w:val="left"/>
      <w:pPr>
        <w:ind w:left="4000" w:hanging="360"/>
      </w:pPr>
    </w:lvl>
    <w:lvl w:ilvl="5" w:tplc="0C0A001B" w:tentative="1">
      <w:start w:val="1"/>
      <w:numFmt w:val="lowerRoman"/>
      <w:lvlText w:val="%6."/>
      <w:lvlJc w:val="right"/>
      <w:pPr>
        <w:ind w:left="4720" w:hanging="180"/>
      </w:pPr>
    </w:lvl>
    <w:lvl w:ilvl="6" w:tplc="0C0A000F" w:tentative="1">
      <w:start w:val="1"/>
      <w:numFmt w:val="decimal"/>
      <w:lvlText w:val="%7."/>
      <w:lvlJc w:val="left"/>
      <w:pPr>
        <w:ind w:left="5440" w:hanging="360"/>
      </w:pPr>
    </w:lvl>
    <w:lvl w:ilvl="7" w:tplc="0C0A0019" w:tentative="1">
      <w:start w:val="1"/>
      <w:numFmt w:val="lowerLetter"/>
      <w:lvlText w:val="%8."/>
      <w:lvlJc w:val="left"/>
      <w:pPr>
        <w:ind w:left="6160" w:hanging="360"/>
      </w:pPr>
    </w:lvl>
    <w:lvl w:ilvl="8" w:tplc="0C0A001B" w:tentative="1">
      <w:start w:val="1"/>
      <w:numFmt w:val="lowerRoman"/>
      <w:lvlText w:val="%9."/>
      <w:lvlJc w:val="right"/>
      <w:pPr>
        <w:ind w:left="6880" w:hanging="180"/>
      </w:pPr>
    </w:lvl>
  </w:abstractNum>
  <w:abstractNum w:abstractNumId="1">
    <w:nsid w:val="2BA764BD"/>
    <w:multiLevelType w:val="hybridMultilevel"/>
    <w:tmpl w:val="CAD281A2"/>
    <w:lvl w:ilvl="0" w:tplc="2A5A3C76">
      <w:start w:val="1"/>
      <w:numFmt w:val="lowerRoman"/>
      <w:lvlText w:val="%1)"/>
      <w:lvlJc w:val="left"/>
      <w:pPr>
        <w:ind w:left="1060" w:hanging="720"/>
      </w:pPr>
      <w:rPr>
        <w:rFonts w:hint="default"/>
      </w:rPr>
    </w:lvl>
    <w:lvl w:ilvl="1" w:tplc="0C0A0019" w:tentative="1">
      <w:start w:val="1"/>
      <w:numFmt w:val="lowerLetter"/>
      <w:lvlText w:val="%2."/>
      <w:lvlJc w:val="left"/>
      <w:pPr>
        <w:ind w:left="1420" w:hanging="360"/>
      </w:pPr>
    </w:lvl>
    <w:lvl w:ilvl="2" w:tplc="0C0A001B" w:tentative="1">
      <w:start w:val="1"/>
      <w:numFmt w:val="lowerRoman"/>
      <w:lvlText w:val="%3."/>
      <w:lvlJc w:val="right"/>
      <w:pPr>
        <w:ind w:left="2140" w:hanging="180"/>
      </w:pPr>
    </w:lvl>
    <w:lvl w:ilvl="3" w:tplc="0C0A000F" w:tentative="1">
      <w:start w:val="1"/>
      <w:numFmt w:val="decimal"/>
      <w:lvlText w:val="%4."/>
      <w:lvlJc w:val="left"/>
      <w:pPr>
        <w:ind w:left="2860" w:hanging="360"/>
      </w:pPr>
    </w:lvl>
    <w:lvl w:ilvl="4" w:tplc="0C0A0019" w:tentative="1">
      <w:start w:val="1"/>
      <w:numFmt w:val="lowerLetter"/>
      <w:lvlText w:val="%5."/>
      <w:lvlJc w:val="left"/>
      <w:pPr>
        <w:ind w:left="3580" w:hanging="360"/>
      </w:pPr>
    </w:lvl>
    <w:lvl w:ilvl="5" w:tplc="0C0A001B" w:tentative="1">
      <w:start w:val="1"/>
      <w:numFmt w:val="lowerRoman"/>
      <w:lvlText w:val="%6."/>
      <w:lvlJc w:val="right"/>
      <w:pPr>
        <w:ind w:left="4300" w:hanging="180"/>
      </w:pPr>
    </w:lvl>
    <w:lvl w:ilvl="6" w:tplc="0C0A000F" w:tentative="1">
      <w:start w:val="1"/>
      <w:numFmt w:val="decimal"/>
      <w:lvlText w:val="%7."/>
      <w:lvlJc w:val="left"/>
      <w:pPr>
        <w:ind w:left="5020" w:hanging="360"/>
      </w:pPr>
    </w:lvl>
    <w:lvl w:ilvl="7" w:tplc="0C0A0019" w:tentative="1">
      <w:start w:val="1"/>
      <w:numFmt w:val="lowerLetter"/>
      <w:lvlText w:val="%8."/>
      <w:lvlJc w:val="left"/>
      <w:pPr>
        <w:ind w:left="5740" w:hanging="360"/>
      </w:pPr>
    </w:lvl>
    <w:lvl w:ilvl="8" w:tplc="0C0A001B" w:tentative="1">
      <w:start w:val="1"/>
      <w:numFmt w:val="lowerRoman"/>
      <w:lvlText w:val="%9."/>
      <w:lvlJc w:val="right"/>
      <w:pPr>
        <w:ind w:left="6460" w:hanging="180"/>
      </w:pPr>
    </w:lvl>
  </w:abstractNum>
  <w:abstractNum w:abstractNumId="2">
    <w:nsid w:val="33D536D3"/>
    <w:multiLevelType w:val="hybridMultilevel"/>
    <w:tmpl w:val="32AA2AAC"/>
    <w:lvl w:ilvl="0" w:tplc="1BD07C04">
      <w:start w:val="1"/>
      <w:numFmt w:val="decimal"/>
      <w:lvlText w:val="%1."/>
      <w:lvlJc w:val="left"/>
      <w:pPr>
        <w:ind w:left="645" w:hanging="360"/>
      </w:pPr>
      <w:rPr>
        <w:rFonts w:hint="default"/>
      </w:rPr>
    </w:lvl>
    <w:lvl w:ilvl="1" w:tplc="0C0A0019" w:tentative="1">
      <w:start w:val="1"/>
      <w:numFmt w:val="lowerLetter"/>
      <w:lvlText w:val="%2."/>
      <w:lvlJc w:val="left"/>
      <w:pPr>
        <w:ind w:left="1365" w:hanging="360"/>
      </w:pPr>
    </w:lvl>
    <w:lvl w:ilvl="2" w:tplc="0C0A001B" w:tentative="1">
      <w:start w:val="1"/>
      <w:numFmt w:val="lowerRoman"/>
      <w:lvlText w:val="%3."/>
      <w:lvlJc w:val="right"/>
      <w:pPr>
        <w:ind w:left="2085" w:hanging="180"/>
      </w:pPr>
    </w:lvl>
    <w:lvl w:ilvl="3" w:tplc="0C0A000F" w:tentative="1">
      <w:start w:val="1"/>
      <w:numFmt w:val="decimal"/>
      <w:lvlText w:val="%4."/>
      <w:lvlJc w:val="left"/>
      <w:pPr>
        <w:ind w:left="2805" w:hanging="360"/>
      </w:pPr>
    </w:lvl>
    <w:lvl w:ilvl="4" w:tplc="0C0A0019" w:tentative="1">
      <w:start w:val="1"/>
      <w:numFmt w:val="lowerLetter"/>
      <w:lvlText w:val="%5."/>
      <w:lvlJc w:val="left"/>
      <w:pPr>
        <w:ind w:left="3525" w:hanging="360"/>
      </w:pPr>
    </w:lvl>
    <w:lvl w:ilvl="5" w:tplc="0C0A001B" w:tentative="1">
      <w:start w:val="1"/>
      <w:numFmt w:val="lowerRoman"/>
      <w:lvlText w:val="%6."/>
      <w:lvlJc w:val="right"/>
      <w:pPr>
        <w:ind w:left="4245" w:hanging="180"/>
      </w:pPr>
    </w:lvl>
    <w:lvl w:ilvl="6" w:tplc="0C0A000F" w:tentative="1">
      <w:start w:val="1"/>
      <w:numFmt w:val="decimal"/>
      <w:lvlText w:val="%7."/>
      <w:lvlJc w:val="left"/>
      <w:pPr>
        <w:ind w:left="4965" w:hanging="360"/>
      </w:pPr>
    </w:lvl>
    <w:lvl w:ilvl="7" w:tplc="0C0A0019" w:tentative="1">
      <w:start w:val="1"/>
      <w:numFmt w:val="lowerLetter"/>
      <w:lvlText w:val="%8."/>
      <w:lvlJc w:val="left"/>
      <w:pPr>
        <w:ind w:left="5685" w:hanging="360"/>
      </w:pPr>
    </w:lvl>
    <w:lvl w:ilvl="8" w:tplc="0C0A001B" w:tentative="1">
      <w:start w:val="1"/>
      <w:numFmt w:val="lowerRoman"/>
      <w:lvlText w:val="%9."/>
      <w:lvlJc w:val="right"/>
      <w:pPr>
        <w:ind w:left="6405" w:hanging="180"/>
      </w:pPr>
    </w:lvl>
  </w:abstractNum>
  <w:abstractNum w:abstractNumId="3">
    <w:nsid w:val="373701B0"/>
    <w:multiLevelType w:val="hybridMultilevel"/>
    <w:tmpl w:val="7C207464"/>
    <w:lvl w:ilvl="0" w:tplc="11E629EC">
      <w:start w:val="1"/>
      <w:numFmt w:val="decimal"/>
      <w:lvlText w:val="%1."/>
      <w:lvlJc w:val="left"/>
      <w:pPr>
        <w:tabs>
          <w:tab w:val="num" w:pos="340"/>
        </w:tabs>
        <w:ind w:left="340" w:hanging="340"/>
      </w:pPr>
      <w:rPr>
        <w:rFonts w:ascii="Tahoma" w:hAnsi="Tahoma" w:cs="Times New Roman" w:hint="default"/>
        <w:b/>
        <w:i w:val="0"/>
        <w:sz w:val="20"/>
        <w:szCs w:val="20"/>
      </w:rPr>
    </w:lvl>
    <w:lvl w:ilvl="1" w:tplc="BEDC8DE4">
      <w:start w:val="1"/>
      <w:numFmt w:val="lowerLetter"/>
      <w:lvlText w:val="%2."/>
      <w:lvlJc w:val="left"/>
      <w:pPr>
        <w:tabs>
          <w:tab w:val="num" w:pos="1440"/>
        </w:tabs>
        <w:ind w:left="1440" w:hanging="360"/>
      </w:pPr>
      <w:rPr>
        <w:rFonts w:cs="Times New Roman" w:hint="default"/>
        <w:b/>
      </w:rPr>
    </w:lvl>
    <w:lvl w:ilvl="2" w:tplc="0C0A001B" w:tentative="1">
      <w:start w:val="1"/>
      <w:numFmt w:val="lowerRoman"/>
      <w:lvlText w:val="%3."/>
      <w:lvlJc w:val="right"/>
      <w:pPr>
        <w:tabs>
          <w:tab w:val="num" w:pos="2160"/>
        </w:tabs>
        <w:ind w:left="2160" w:hanging="180"/>
      </w:pPr>
      <w:rPr>
        <w:rFonts w:cs="Times New Roman"/>
      </w:rPr>
    </w:lvl>
    <w:lvl w:ilvl="3" w:tplc="0C0A001B">
      <w:start w:val="1"/>
      <w:numFmt w:val="lowerRoman"/>
      <w:lvlText w:val="%4."/>
      <w:lvlJc w:val="right"/>
      <w:pPr>
        <w:tabs>
          <w:tab w:val="num" w:pos="2880"/>
        </w:tabs>
        <w:ind w:left="2880" w:hanging="360"/>
      </w:pPr>
      <w:rPr>
        <w:rFonts w:cs="Times New Roman" w:hint="default"/>
        <w:b/>
        <w:i w:val="0"/>
        <w:sz w:val="20"/>
        <w:szCs w:val="20"/>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4">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528F7119"/>
    <w:multiLevelType w:val="hybridMultilevel"/>
    <w:tmpl w:val="0180EAA4"/>
    <w:lvl w:ilvl="0" w:tplc="6AA47BFC">
      <w:start w:val="1"/>
      <w:numFmt w:val="lowerRoman"/>
      <w:lvlText w:val="%1)"/>
      <w:lvlJc w:val="left"/>
      <w:pPr>
        <w:ind w:left="1287" w:hanging="72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6">
    <w:nsid w:val="53966D03"/>
    <w:multiLevelType w:val="hybridMultilevel"/>
    <w:tmpl w:val="6CB4BA48"/>
    <w:lvl w:ilvl="0" w:tplc="D95AD4BE">
      <w:start w:val="1"/>
      <w:numFmt w:val="upperRoman"/>
      <w:lvlText w:val="%1."/>
      <w:lvlJc w:val="left"/>
      <w:pPr>
        <w:ind w:left="1080" w:hanging="72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7">
    <w:nsid w:val="593B085E"/>
    <w:multiLevelType w:val="hybridMultilevel"/>
    <w:tmpl w:val="B41C2076"/>
    <w:lvl w:ilvl="0" w:tplc="0C0A0017">
      <w:start w:val="1"/>
      <w:numFmt w:val="lowerLetter"/>
      <w:lvlText w:val="%1)"/>
      <w:lvlJc w:val="left"/>
      <w:pPr>
        <w:ind w:left="1260" w:hanging="360"/>
      </w:pPr>
      <w:rPr>
        <w:rFonts w:hint="default"/>
      </w:rPr>
    </w:lvl>
    <w:lvl w:ilvl="1" w:tplc="0C0A0003" w:tentative="1">
      <w:start w:val="1"/>
      <w:numFmt w:val="bullet"/>
      <w:lvlText w:val="o"/>
      <w:lvlJc w:val="left"/>
      <w:pPr>
        <w:ind w:left="1980" w:hanging="360"/>
      </w:pPr>
      <w:rPr>
        <w:rFonts w:ascii="Courier New" w:hAnsi="Courier New" w:cs="Courier New" w:hint="default"/>
      </w:rPr>
    </w:lvl>
    <w:lvl w:ilvl="2" w:tplc="0C0A0005" w:tentative="1">
      <w:start w:val="1"/>
      <w:numFmt w:val="bullet"/>
      <w:lvlText w:val=""/>
      <w:lvlJc w:val="left"/>
      <w:pPr>
        <w:ind w:left="2700" w:hanging="360"/>
      </w:pPr>
      <w:rPr>
        <w:rFonts w:ascii="Wingdings" w:hAnsi="Wingdings" w:hint="default"/>
      </w:rPr>
    </w:lvl>
    <w:lvl w:ilvl="3" w:tplc="0C0A0001" w:tentative="1">
      <w:start w:val="1"/>
      <w:numFmt w:val="bullet"/>
      <w:lvlText w:val=""/>
      <w:lvlJc w:val="left"/>
      <w:pPr>
        <w:ind w:left="3420" w:hanging="360"/>
      </w:pPr>
      <w:rPr>
        <w:rFonts w:ascii="Symbol" w:hAnsi="Symbol" w:hint="default"/>
      </w:rPr>
    </w:lvl>
    <w:lvl w:ilvl="4" w:tplc="0C0A0003" w:tentative="1">
      <w:start w:val="1"/>
      <w:numFmt w:val="bullet"/>
      <w:lvlText w:val="o"/>
      <w:lvlJc w:val="left"/>
      <w:pPr>
        <w:ind w:left="4140" w:hanging="360"/>
      </w:pPr>
      <w:rPr>
        <w:rFonts w:ascii="Courier New" w:hAnsi="Courier New" w:cs="Courier New" w:hint="default"/>
      </w:rPr>
    </w:lvl>
    <w:lvl w:ilvl="5" w:tplc="0C0A0005" w:tentative="1">
      <w:start w:val="1"/>
      <w:numFmt w:val="bullet"/>
      <w:lvlText w:val=""/>
      <w:lvlJc w:val="left"/>
      <w:pPr>
        <w:ind w:left="4860" w:hanging="360"/>
      </w:pPr>
      <w:rPr>
        <w:rFonts w:ascii="Wingdings" w:hAnsi="Wingdings" w:hint="default"/>
      </w:rPr>
    </w:lvl>
    <w:lvl w:ilvl="6" w:tplc="0C0A0001" w:tentative="1">
      <w:start w:val="1"/>
      <w:numFmt w:val="bullet"/>
      <w:lvlText w:val=""/>
      <w:lvlJc w:val="left"/>
      <w:pPr>
        <w:ind w:left="5580" w:hanging="360"/>
      </w:pPr>
      <w:rPr>
        <w:rFonts w:ascii="Symbol" w:hAnsi="Symbol" w:hint="default"/>
      </w:rPr>
    </w:lvl>
    <w:lvl w:ilvl="7" w:tplc="0C0A0003" w:tentative="1">
      <w:start w:val="1"/>
      <w:numFmt w:val="bullet"/>
      <w:lvlText w:val="o"/>
      <w:lvlJc w:val="left"/>
      <w:pPr>
        <w:ind w:left="6300" w:hanging="360"/>
      </w:pPr>
      <w:rPr>
        <w:rFonts w:ascii="Courier New" w:hAnsi="Courier New" w:cs="Courier New" w:hint="default"/>
      </w:rPr>
    </w:lvl>
    <w:lvl w:ilvl="8" w:tplc="0C0A0005" w:tentative="1">
      <w:start w:val="1"/>
      <w:numFmt w:val="bullet"/>
      <w:lvlText w:val=""/>
      <w:lvlJc w:val="left"/>
      <w:pPr>
        <w:ind w:left="7020" w:hanging="360"/>
      </w:pPr>
      <w:rPr>
        <w:rFonts w:ascii="Wingdings" w:hAnsi="Wingdings" w:hint="default"/>
      </w:rPr>
    </w:lvl>
  </w:abstractNum>
  <w:abstractNum w:abstractNumId="8">
    <w:nsid w:val="71663834"/>
    <w:multiLevelType w:val="hybridMultilevel"/>
    <w:tmpl w:val="4428360C"/>
    <w:lvl w:ilvl="0" w:tplc="C32AC72C">
      <w:start w:val="1"/>
      <w:numFmt w:val="decimal"/>
      <w:lvlText w:val="%1."/>
      <w:lvlJc w:val="left"/>
      <w:pPr>
        <w:tabs>
          <w:tab w:val="num" w:pos="1164"/>
        </w:tabs>
        <w:ind w:left="1164" w:hanging="454"/>
      </w:pPr>
      <w:rPr>
        <w:rFonts w:ascii="Tahoma" w:hAnsi="Tahoma" w:cs="Tahoma" w:hint="default"/>
        <w:b/>
        <w:i w:val="0"/>
        <w:shadow/>
        <w:emboss w:val="0"/>
        <w:imprint w:val="0"/>
        <w:sz w:val="20"/>
        <w:szCs w:val="20"/>
        <w:u w:color="FFFFFF"/>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9">
    <w:nsid w:val="71DF449A"/>
    <w:multiLevelType w:val="hybridMultilevel"/>
    <w:tmpl w:val="CB68C9B6"/>
    <w:lvl w:ilvl="0" w:tplc="DCFC3996">
      <w:start w:val="1"/>
      <w:numFmt w:val="decimal"/>
      <w:lvlText w:val="%1."/>
      <w:lvlJc w:val="left"/>
      <w:pPr>
        <w:ind w:left="720" w:hanging="360"/>
      </w:pPr>
      <w:rPr>
        <w:rFonts w:ascii="Tahoma" w:hAnsi="Tahoma" w:cs="Tahoma" w:hint="default"/>
        <w:b/>
        <w:i w:val="0"/>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4"/>
  </w:num>
  <w:num w:numId="2">
    <w:abstractNumId w:val="3"/>
  </w:num>
  <w:num w:numId="3">
    <w:abstractNumId w:val="6"/>
  </w:num>
  <w:num w:numId="4">
    <w:abstractNumId w:val="8"/>
  </w:num>
  <w:num w:numId="5">
    <w:abstractNumId w:val="2"/>
  </w:num>
  <w:num w:numId="6">
    <w:abstractNumId w:val="1"/>
  </w:num>
  <w:num w:numId="7">
    <w:abstractNumId w:val="5"/>
  </w:num>
  <w:num w:numId="8">
    <w:abstractNumId w:val="0"/>
  </w:num>
  <w:num w:numId="9">
    <w:abstractNumId w:val="7"/>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2"/>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EF27B3"/>
    <w:rsid w:val="00196655"/>
    <w:rsid w:val="0026494E"/>
    <w:rsid w:val="00331420"/>
    <w:rsid w:val="00387C93"/>
    <w:rsid w:val="003A0AE8"/>
    <w:rsid w:val="00496AD0"/>
    <w:rsid w:val="00577BB0"/>
    <w:rsid w:val="00667E34"/>
    <w:rsid w:val="00917116"/>
    <w:rsid w:val="009C382E"/>
    <w:rsid w:val="00C27F4B"/>
    <w:rsid w:val="00E01C1F"/>
    <w:rsid w:val="00EF27B3"/>
    <w:rsid w:val="00F1505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27B3"/>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EF27B3"/>
    <w:pPr>
      <w:spacing w:after="120"/>
    </w:pPr>
    <w:rPr>
      <w:sz w:val="16"/>
      <w:szCs w:val="16"/>
      <w:lang w:val="es-PE"/>
    </w:rPr>
  </w:style>
  <w:style w:type="character" w:customStyle="1" w:styleId="Textoindependiente3Car">
    <w:name w:val="Texto independiente 3 Car"/>
    <w:basedOn w:val="Fuentedeprrafopredeter"/>
    <w:link w:val="Textoindependiente3"/>
    <w:rsid w:val="00EF27B3"/>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EF27B3"/>
    <w:pPr>
      <w:jc w:val="both"/>
    </w:pPr>
    <w:rPr>
      <w:rFonts w:ascii="Tahoma" w:hAnsi="Tahoma"/>
      <w:sz w:val="22"/>
      <w:szCs w:val="20"/>
    </w:rPr>
  </w:style>
  <w:style w:type="paragraph" w:styleId="Prrafodelista">
    <w:name w:val="List Paragraph"/>
    <w:basedOn w:val="Normal"/>
    <w:qFormat/>
    <w:rsid w:val="00EF27B3"/>
    <w:pPr>
      <w:widowControl w:val="0"/>
      <w:suppressAutoHyphens/>
      <w:ind w:left="708"/>
    </w:pPr>
    <w:rPr>
      <w:szCs w:val="20"/>
      <w:lang w:val="es-ES_tradnl"/>
    </w:rPr>
  </w:style>
  <w:style w:type="paragraph" w:styleId="Piedepgina">
    <w:name w:val="footer"/>
    <w:basedOn w:val="Normal"/>
    <w:link w:val="PiedepginaCar"/>
    <w:uiPriority w:val="99"/>
    <w:unhideWhenUsed/>
    <w:rsid w:val="00EF27B3"/>
    <w:pPr>
      <w:tabs>
        <w:tab w:val="center" w:pos="4252"/>
        <w:tab w:val="right" w:pos="8504"/>
      </w:tabs>
    </w:pPr>
  </w:style>
  <w:style w:type="character" w:customStyle="1" w:styleId="PiedepginaCar">
    <w:name w:val="Pie de página Car"/>
    <w:basedOn w:val="Fuentedeprrafopredeter"/>
    <w:link w:val="Piedepgina"/>
    <w:uiPriority w:val="99"/>
    <w:rsid w:val="00EF27B3"/>
    <w:rPr>
      <w:rFonts w:ascii="Times New Roman" w:eastAsia="Times New Roman" w:hAnsi="Times New Roman" w:cs="Times New Roman"/>
      <w:sz w:val="24"/>
      <w:szCs w:val="24"/>
      <w:lang w:eastAsia="es-ES"/>
    </w:rPr>
  </w:style>
  <w:style w:type="paragraph" w:styleId="Textonotapie">
    <w:name w:val="footnote text"/>
    <w:aliases w:val="Car,Car Car Car,Car4, Car,Car Car1,Texto nota pie1,Texto independiente1, Car4,Body Text,Texto independiente11, Car2 Car Car Car Car Car, Car2 Car, Car2, Car1 Car"/>
    <w:basedOn w:val="Normal"/>
    <w:link w:val="TextonotapieCar"/>
    <w:rsid w:val="00EF27B3"/>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2 Car Car Car Car Car Car, Car2 Car Car, Car2 Car1, Car1 Car Car"/>
    <w:basedOn w:val="Fuentedeprrafopredeter"/>
    <w:link w:val="Textonotapie"/>
    <w:rsid w:val="00EF27B3"/>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EF27B3"/>
    <w:rPr>
      <w:rFonts w:cs="Times New Roman"/>
      <w:vertAlign w:val="superscript"/>
    </w:rPr>
  </w:style>
  <w:style w:type="paragraph" w:styleId="Sangradetextonormal">
    <w:name w:val="Body Text Indent"/>
    <w:basedOn w:val="Normal"/>
    <w:link w:val="SangradetextonormalCar"/>
    <w:uiPriority w:val="99"/>
    <w:rsid w:val="00EF27B3"/>
    <w:pPr>
      <w:spacing w:after="120"/>
      <w:ind w:left="283"/>
    </w:pPr>
  </w:style>
  <w:style w:type="character" w:customStyle="1" w:styleId="SangradetextonormalCar">
    <w:name w:val="Sangría de texto normal Car"/>
    <w:basedOn w:val="Fuentedeprrafopredeter"/>
    <w:link w:val="Sangradetextonormal"/>
    <w:uiPriority w:val="99"/>
    <w:rsid w:val="00EF27B3"/>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rsid w:val="00EF27B3"/>
    <w:pPr>
      <w:spacing w:after="120"/>
    </w:pPr>
  </w:style>
  <w:style w:type="character" w:customStyle="1" w:styleId="TextoindependienteCar">
    <w:name w:val="Texto independiente Car"/>
    <w:basedOn w:val="Fuentedeprrafopredeter"/>
    <w:link w:val="Textoindependiente"/>
    <w:uiPriority w:val="99"/>
    <w:rsid w:val="00EF27B3"/>
    <w:rPr>
      <w:rFonts w:ascii="Times New Roman" w:eastAsia="Times New Roman" w:hAnsi="Times New Roman" w:cs="Times New Roman"/>
      <w:sz w:val="24"/>
      <w:szCs w:val="24"/>
      <w:lang w:eastAsia="es-ES"/>
    </w:rPr>
  </w:style>
  <w:style w:type="paragraph" w:customStyle="1" w:styleId="p1">
    <w:name w:val="p1"/>
    <w:basedOn w:val="Normal"/>
    <w:rsid w:val="00EF27B3"/>
    <w:pPr>
      <w:widowControl w:val="0"/>
      <w:tabs>
        <w:tab w:val="left" w:pos="16640"/>
      </w:tabs>
      <w:suppressAutoHyphens/>
      <w:spacing w:line="240" w:lineRule="atLeast"/>
      <w:ind w:left="7600"/>
      <w:jc w:val="both"/>
    </w:pPr>
    <w:rPr>
      <w:rFonts w:ascii="Times" w:hAnsi="Times"/>
      <w:szCs w:val="20"/>
      <w:lang w:eastAsia="ar-SA"/>
    </w:rPr>
  </w:style>
  <w:style w:type="paragraph" w:styleId="Encabezado">
    <w:name w:val="header"/>
    <w:aliases w:val="maria,h"/>
    <w:basedOn w:val="Normal"/>
    <w:link w:val="EncabezadoCar"/>
    <w:uiPriority w:val="99"/>
    <w:unhideWhenUsed/>
    <w:rsid w:val="00EF27B3"/>
    <w:pPr>
      <w:tabs>
        <w:tab w:val="center" w:pos="4252"/>
        <w:tab w:val="right" w:pos="8504"/>
      </w:tabs>
    </w:pPr>
    <w:rPr>
      <w:sz w:val="20"/>
      <w:szCs w:val="20"/>
    </w:rPr>
  </w:style>
  <w:style w:type="character" w:customStyle="1" w:styleId="EncabezadoCar">
    <w:name w:val="Encabezado Car"/>
    <w:aliases w:val="maria Car,h Car"/>
    <w:basedOn w:val="Fuentedeprrafopredeter"/>
    <w:link w:val="Encabezado"/>
    <w:uiPriority w:val="99"/>
    <w:rsid w:val="00EF27B3"/>
    <w:rPr>
      <w:rFonts w:ascii="Times New Roman" w:eastAsia="Times New Roman" w:hAnsi="Times New Roman" w:cs="Times New Roman"/>
      <w:sz w:val="20"/>
      <w:szCs w:val="20"/>
      <w:lang w:eastAsia="es-ES"/>
    </w:rPr>
  </w:style>
</w:styles>
</file>

<file path=word/webSettings.xml><?xml version="1.0" encoding="utf-8"?>
<w:webSettings xmlns:r="http://schemas.openxmlformats.org/officeDocument/2006/relationships" xmlns:w="http://schemas.openxmlformats.org/wordprocessingml/2006/main">
  <w:divs>
    <w:div w:id="47653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1967ED-CB88-468E-B70A-72D5C6CE1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2192</Words>
  <Characters>12062</Characters>
  <Application>Microsoft Office Word</Application>
  <DocSecurity>0</DocSecurity>
  <Lines>100</Lines>
  <Paragraphs>28</Paragraphs>
  <ScaleCrop>false</ScaleCrop>
  <Company/>
  <LinksUpToDate>false</LinksUpToDate>
  <CharactersWithSpaces>14226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mcervantes</dc:creator>
  <cp:keywords/>
  <dc:description/>
  <cp:lastModifiedBy>bcaceres</cp:lastModifiedBy>
  <cp:revision>6</cp:revision>
  <cp:lastPrinted>2011-02-15T21:51:00Z</cp:lastPrinted>
  <dcterms:created xsi:type="dcterms:W3CDTF">2011-02-15T21:14:00Z</dcterms:created>
  <dcterms:modified xsi:type="dcterms:W3CDTF">2011-03-07T16:40:00Z</dcterms:modified>
</cp:coreProperties>
</file>